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E5" w:rsidRPr="008A08E5" w:rsidRDefault="008A08E5" w:rsidP="001841B8">
      <w:pPr>
        <w:tabs>
          <w:tab w:val="left" w:pos="8787"/>
        </w:tabs>
        <w:jc w:val="center"/>
        <w:rPr>
          <w:b/>
          <w:sz w:val="32"/>
          <w:szCs w:val="32"/>
          <w:lang w:val="uk-UA"/>
        </w:rPr>
      </w:pPr>
      <w:bookmarkStart w:id="0" w:name="_GoBack"/>
      <w:bookmarkEnd w:id="0"/>
    </w:p>
    <w:p w:rsidR="001841B8" w:rsidRPr="00451E13" w:rsidRDefault="001841B8" w:rsidP="00CD6F9A">
      <w:pPr>
        <w:tabs>
          <w:tab w:val="left" w:pos="8787"/>
        </w:tabs>
        <w:jc w:val="center"/>
        <w:rPr>
          <w:b/>
          <w:lang w:val="uk-UA"/>
        </w:rPr>
      </w:pPr>
      <w:r w:rsidRPr="00451E13">
        <w:rPr>
          <w:b/>
          <w:lang w:val="uk-UA"/>
        </w:rPr>
        <w:t>Довідка про консультації з органами виконавчої влади</w:t>
      </w:r>
    </w:p>
    <w:p w:rsidR="00A0333B" w:rsidRPr="00451E13" w:rsidRDefault="001841B8" w:rsidP="00CD6F9A">
      <w:pPr>
        <w:tabs>
          <w:tab w:val="left" w:pos="8787"/>
        </w:tabs>
        <w:jc w:val="center"/>
        <w:rPr>
          <w:b/>
          <w:lang w:val="uk-UA"/>
        </w:rPr>
      </w:pPr>
      <w:r w:rsidRPr="00451E13">
        <w:rPr>
          <w:b/>
          <w:lang w:val="uk-UA"/>
        </w:rPr>
        <w:t>у процесі здійснення стратегічної екологічної оцінки</w:t>
      </w:r>
    </w:p>
    <w:p w:rsidR="00451E13" w:rsidRPr="00451E13" w:rsidRDefault="001841B8" w:rsidP="00CD6F9A">
      <w:pPr>
        <w:jc w:val="center"/>
        <w:rPr>
          <w:b/>
          <w:lang w:val="uk-UA"/>
        </w:rPr>
      </w:pPr>
      <w:r w:rsidRPr="00451E13">
        <w:rPr>
          <w:b/>
          <w:lang w:val="uk-UA"/>
        </w:rPr>
        <w:t>про</w:t>
      </w:r>
      <w:r w:rsidR="00FC15CD">
        <w:rPr>
          <w:b/>
          <w:lang w:val="uk-UA"/>
        </w:rPr>
        <w:t>е</w:t>
      </w:r>
      <w:r w:rsidRPr="00451E13">
        <w:rPr>
          <w:b/>
          <w:lang w:val="uk-UA"/>
        </w:rPr>
        <w:t>кту</w:t>
      </w:r>
      <w:r w:rsidR="00A0333B" w:rsidRPr="00451E13">
        <w:rPr>
          <w:b/>
          <w:lang w:val="uk-UA"/>
        </w:rPr>
        <w:t xml:space="preserve"> </w:t>
      </w:r>
      <w:r w:rsidR="00451E13" w:rsidRPr="00451E13">
        <w:rPr>
          <w:b/>
          <w:lang w:val="uk-UA"/>
        </w:rPr>
        <w:t>Програми економічного і соціального розвитку</w:t>
      </w:r>
    </w:p>
    <w:p w:rsidR="00451E13" w:rsidRPr="00451E13" w:rsidRDefault="00451E13" w:rsidP="00CD6F9A">
      <w:pPr>
        <w:jc w:val="center"/>
        <w:rPr>
          <w:b/>
          <w:lang w:val="uk-UA"/>
        </w:rPr>
      </w:pPr>
      <w:r w:rsidRPr="00451E13">
        <w:rPr>
          <w:b/>
          <w:lang w:val="uk-UA"/>
        </w:rPr>
        <w:t>Хмельницької місько</w:t>
      </w:r>
      <w:r w:rsidR="00ED36FC">
        <w:rPr>
          <w:b/>
          <w:lang w:val="uk-UA"/>
        </w:rPr>
        <w:t>ї територіальної громади на 2023</w:t>
      </w:r>
      <w:r w:rsidRPr="00451E13">
        <w:rPr>
          <w:b/>
          <w:lang w:val="uk-UA"/>
        </w:rPr>
        <w:t xml:space="preserve"> рік</w:t>
      </w:r>
    </w:p>
    <w:p w:rsidR="008A08E5" w:rsidRDefault="00451E13" w:rsidP="00CD6F9A">
      <w:pPr>
        <w:tabs>
          <w:tab w:val="left" w:pos="8787"/>
        </w:tabs>
        <w:jc w:val="center"/>
        <w:rPr>
          <w:b/>
          <w:lang w:val="uk-UA"/>
        </w:rPr>
      </w:pPr>
      <w:r w:rsidRPr="00451E13">
        <w:rPr>
          <w:b/>
          <w:lang w:val="uk-UA"/>
        </w:rPr>
        <w:t>та Звіту про стратегічну екологічну оцінку</w:t>
      </w:r>
    </w:p>
    <w:p w:rsidR="00451E13" w:rsidRPr="00451E13" w:rsidRDefault="00451E13" w:rsidP="00451E13">
      <w:pPr>
        <w:tabs>
          <w:tab w:val="left" w:pos="8787"/>
        </w:tabs>
        <w:jc w:val="center"/>
        <w:rPr>
          <w:b/>
          <w:lang w:val="uk-UA"/>
        </w:rPr>
      </w:pPr>
    </w:p>
    <w:p w:rsidR="001E0132" w:rsidRPr="00ED36FC" w:rsidRDefault="001841B8" w:rsidP="00F1362D">
      <w:pPr>
        <w:tabs>
          <w:tab w:val="left" w:pos="8787"/>
        </w:tabs>
        <w:ind w:firstLine="567"/>
        <w:jc w:val="both"/>
        <w:rPr>
          <w:highlight w:val="yellow"/>
          <w:lang w:val="uk-UA"/>
        </w:rPr>
      </w:pPr>
      <w:r w:rsidRPr="00406F99">
        <w:rPr>
          <w:lang w:val="uk-UA"/>
        </w:rPr>
        <w:t xml:space="preserve">На виконання ст.10 Закону України «Про стратегічну екологічну оцінку» </w:t>
      </w:r>
      <w:r w:rsidR="008A08E5" w:rsidRPr="00406F99">
        <w:rPr>
          <w:lang w:val="uk-UA"/>
        </w:rPr>
        <w:t xml:space="preserve">управлінням економіки Хмельницької </w:t>
      </w:r>
      <w:r w:rsidRPr="00406F99">
        <w:rPr>
          <w:lang w:val="uk-UA"/>
        </w:rPr>
        <w:t xml:space="preserve">міської ради для визначення обсягу досліджень, методів екологічної оцінки, рівня деталізації інформації, що має бути включена до Звіту про стратегічну екологічну оцінку, </w:t>
      </w:r>
      <w:r w:rsidR="00406F99" w:rsidRPr="00406F99">
        <w:rPr>
          <w:lang w:val="uk-UA"/>
        </w:rPr>
        <w:t>13.07.2022</w:t>
      </w:r>
      <w:r w:rsidR="008A08E5" w:rsidRPr="00406F99">
        <w:rPr>
          <w:lang w:val="uk-UA"/>
        </w:rPr>
        <w:t xml:space="preserve"> року подано Заяву про визначення обсягу стра</w:t>
      </w:r>
      <w:r w:rsidR="00FC15CD" w:rsidRPr="00406F99">
        <w:rPr>
          <w:lang w:val="uk-UA"/>
        </w:rPr>
        <w:t>тегічної екологічної оцінки прое</w:t>
      </w:r>
      <w:r w:rsidR="008A08E5" w:rsidRPr="00406F99">
        <w:rPr>
          <w:lang w:val="uk-UA"/>
        </w:rPr>
        <w:t xml:space="preserve">кту </w:t>
      </w:r>
      <w:r w:rsidR="00451E13" w:rsidRPr="00406F99">
        <w:rPr>
          <w:lang w:val="uk-UA"/>
        </w:rPr>
        <w:t>Програми економічного і соціального розвитку Хмельницької місько</w:t>
      </w:r>
      <w:r w:rsidR="00406F99" w:rsidRPr="00406F99">
        <w:rPr>
          <w:lang w:val="uk-UA"/>
        </w:rPr>
        <w:t>ї територіальної громади на 2023</w:t>
      </w:r>
      <w:r w:rsidR="00451E13" w:rsidRPr="00406F99">
        <w:rPr>
          <w:lang w:val="uk-UA"/>
        </w:rPr>
        <w:t xml:space="preserve"> рік (далі – Програма) </w:t>
      </w:r>
      <w:r w:rsidR="008A08E5" w:rsidRPr="00406F99">
        <w:rPr>
          <w:lang w:val="uk-UA"/>
        </w:rPr>
        <w:t xml:space="preserve">на паперових носіях та </w:t>
      </w:r>
      <w:r w:rsidR="00A0333B" w:rsidRPr="00406F99">
        <w:rPr>
          <w:lang w:val="uk-UA"/>
        </w:rPr>
        <w:t>у електронному вигляді до Д</w:t>
      </w:r>
      <w:r w:rsidR="008A08E5" w:rsidRPr="00406F99">
        <w:rPr>
          <w:lang w:val="uk-UA"/>
        </w:rPr>
        <w:t xml:space="preserve">епартаменту </w:t>
      </w:r>
      <w:r w:rsidR="001E0132" w:rsidRPr="00406F99">
        <w:rPr>
          <w:lang w:val="uk-UA"/>
        </w:rPr>
        <w:t xml:space="preserve">природних ресурсів та екології Хмельницької </w:t>
      </w:r>
      <w:r w:rsidR="008A08E5" w:rsidRPr="00406F99">
        <w:rPr>
          <w:lang w:val="uk-UA"/>
        </w:rPr>
        <w:t>облдержадміністрації</w:t>
      </w:r>
      <w:r w:rsidR="00A0333B" w:rsidRPr="00406F99">
        <w:rPr>
          <w:lang w:val="uk-UA"/>
        </w:rPr>
        <w:t xml:space="preserve"> (лист</w:t>
      </w:r>
      <w:r w:rsidR="008A08E5" w:rsidRPr="00406F99">
        <w:rPr>
          <w:lang w:val="uk-UA"/>
        </w:rPr>
        <w:t xml:space="preserve"> </w:t>
      </w:r>
      <w:r w:rsidR="00A0333B" w:rsidRPr="00406F99">
        <w:rPr>
          <w:lang w:val="uk-UA"/>
        </w:rPr>
        <w:t>від 1</w:t>
      </w:r>
      <w:r w:rsidR="00406F99" w:rsidRPr="00406F99">
        <w:rPr>
          <w:lang w:val="uk-UA"/>
        </w:rPr>
        <w:t>3</w:t>
      </w:r>
      <w:r w:rsidR="00A0333B" w:rsidRPr="00406F99">
        <w:rPr>
          <w:lang w:val="uk-UA"/>
        </w:rPr>
        <w:t>.0</w:t>
      </w:r>
      <w:r w:rsidR="00406F99" w:rsidRPr="00406F99">
        <w:rPr>
          <w:lang w:val="uk-UA"/>
        </w:rPr>
        <w:t>7.2022</w:t>
      </w:r>
      <w:r w:rsidR="00A0333B" w:rsidRPr="00406F99">
        <w:rPr>
          <w:lang w:val="uk-UA"/>
        </w:rPr>
        <w:t xml:space="preserve"> року </w:t>
      </w:r>
      <w:r w:rsidR="008A08E5" w:rsidRPr="00406F99">
        <w:rPr>
          <w:lang w:val="uk-UA"/>
        </w:rPr>
        <w:t>№</w:t>
      </w:r>
      <w:r w:rsidR="00406F99" w:rsidRPr="00406F99">
        <w:rPr>
          <w:lang w:val="uk-UA"/>
        </w:rPr>
        <w:t>2865-22</w:t>
      </w:r>
      <w:r w:rsidR="008A08E5" w:rsidRPr="00406F99">
        <w:rPr>
          <w:lang w:val="uk-UA"/>
        </w:rPr>
        <w:t>)</w:t>
      </w:r>
      <w:r w:rsidR="00AB6559" w:rsidRPr="00406F99">
        <w:rPr>
          <w:lang w:val="uk-UA"/>
        </w:rPr>
        <w:t>,</w:t>
      </w:r>
      <w:r w:rsidR="008A08E5" w:rsidRPr="00406F99">
        <w:rPr>
          <w:lang w:val="uk-UA"/>
        </w:rPr>
        <w:t xml:space="preserve"> </w:t>
      </w:r>
      <w:r w:rsidR="00A0333B" w:rsidRPr="00406F99">
        <w:rPr>
          <w:lang w:val="uk-UA"/>
        </w:rPr>
        <w:t>Д</w:t>
      </w:r>
      <w:r w:rsidR="008A08E5" w:rsidRPr="00406F99">
        <w:rPr>
          <w:lang w:val="uk-UA"/>
        </w:rPr>
        <w:t xml:space="preserve">епартаменту охорони здоров’я </w:t>
      </w:r>
      <w:r w:rsidR="001E0132" w:rsidRPr="00406F99">
        <w:rPr>
          <w:lang w:val="uk-UA"/>
        </w:rPr>
        <w:t xml:space="preserve">Хмельницької облдержадміністрації </w:t>
      </w:r>
      <w:r w:rsidR="008A08E5" w:rsidRPr="00406F99">
        <w:rPr>
          <w:lang w:val="uk-UA"/>
        </w:rPr>
        <w:t>(</w:t>
      </w:r>
      <w:r w:rsidR="00A0333B" w:rsidRPr="00406F99">
        <w:rPr>
          <w:lang w:val="uk-UA"/>
        </w:rPr>
        <w:t>лист від 1</w:t>
      </w:r>
      <w:r w:rsidR="00406F99" w:rsidRPr="00406F99">
        <w:rPr>
          <w:lang w:val="uk-UA"/>
        </w:rPr>
        <w:t>3</w:t>
      </w:r>
      <w:r w:rsidR="00A0333B" w:rsidRPr="00406F99">
        <w:rPr>
          <w:lang w:val="uk-UA"/>
        </w:rPr>
        <w:t>.0</w:t>
      </w:r>
      <w:r w:rsidR="00406F99" w:rsidRPr="00406F99">
        <w:rPr>
          <w:lang w:val="uk-UA"/>
        </w:rPr>
        <w:t>7.2022</w:t>
      </w:r>
      <w:r w:rsidR="00A0333B" w:rsidRPr="00406F99">
        <w:rPr>
          <w:lang w:val="uk-UA"/>
        </w:rPr>
        <w:t xml:space="preserve"> року</w:t>
      </w:r>
      <w:r w:rsidR="008A08E5" w:rsidRPr="00406F99">
        <w:rPr>
          <w:lang w:val="uk-UA"/>
        </w:rPr>
        <w:t xml:space="preserve"> №</w:t>
      </w:r>
      <w:r w:rsidR="00537F32" w:rsidRPr="00406F99">
        <w:rPr>
          <w:lang w:val="uk-UA"/>
        </w:rPr>
        <w:t>286</w:t>
      </w:r>
      <w:r w:rsidR="00537F32">
        <w:rPr>
          <w:lang w:val="uk-UA"/>
        </w:rPr>
        <w:t>4</w:t>
      </w:r>
      <w:r w:rsidR="00537F32" w:rsidRPr="00406F99">
        <w:rPr>
          <w:lang w:val="uk-UA"/>
        </w:rPr>
        <w:t>-22</w:t>
      </w:r>
      <w:r w:rsidR="008A08E5" w:rsidRPr="00406F99">
        <w:rPr>
          <w:lang w:val="uk-UA"/>
        </w:rPr>
        <w:t>)</w:t>
      </w:r>
      <w:r w:rsidR="001E0132" w:rsidRPr="00406F99">
        <w:rPr>
          <w:lang w:val="uk-UA"/>
        </w:rPr>
        <w:t>.</w:t>
      </w:r>
    </w:p>
    <w:p w:rsidR="008A08E5" w:rsidRPr="00406F99" w:rsidRDefault="0092661A" w:rsidP="00F1362D">
      <w:pPr>
        <w:tabs>
          <w:tab w:val="left" w:pos="8787"/>
        </w:tabs>
        <w:ind w:firstLine="567"/>
        <w:jc w:val="both"/>
        <w:rPr>
          <w:lang w:val="uk-UA"/>
        </w:rPr>
      </w:pPr>
      <w:r w:rsidRPr="00406F99">
        <w:rPr>
          <w:lang w:val="uk-UA"/>
        </w:rPr>
        <w:t>Крім цього, Заяву оприлюднено</w:t>
      </w:r>
      <w:r w:rsidR="008A08E5" w:rsidRPr="00406F99">
        <w:rPr>
          <w:lang w:val="uk-UA"/>
        </w:rPr>
        <w:t xml:space="preserve"> </w:t>
      </w:r>
      <w:r w:rsidR="00406F99" w:rsidRPr="00406F99">
        <w:rPr>
          <w:lang w:val="uk-UA"/>
        </w:rPr>
        <w:t>13.07.2022</w:t>
      </w:r>
      <w:r w:rsidR="00F90FAA" w:rsidRPr="00406F99">
        <w:rPr>
          <w:lang w:val="uk-UA"/>
        </w:rPr>
        <w:t xml:space="preserve"> року </w:t>
      </w:r>
      <w:r w:rsidR="008A08E5" w:rsidRPr="00406F99">
        <w:rPr>
          <w:lang w:val="uk-UA"/>
        </w:rPr>
        <w:t xml:space="preserve">на офіційному сайті Хмельницької міської ради та повідомлення про її розміщення надруковано у газетах </w:t>
      </w:r>
      <w:r w:rsidR="00B611FB" w:rsidRPr="00406F99">
        <w:rPr>
          <w:lang w:val="uk-UA"/>
        </w:rPr>
        <w:t xml:space="preserve">«Є» та </w:t>
      </w:r>
      <w:r w:rsidR="008A08E5" w:rsidRPr="00406F99">
        <w:rPr>
          <w:lang w:val="uk-UA"/>
        </w:rPr>
        <w:t xml:space="preserve">«Актуально для подолян». </w:t>
      </w:r>
    </w:p>
    <w:p w:rsidR="00B611FB" w:rsidRPr="000963BC" w:rsidRDefault="00382591" w:rsidP="00F1362D">
      <w:pPr>
        <w:tabs>
          <w:tab w:val="left" w:pos="8787"/>
        </w:tabs>
        <w:ind w:firstLine="567"/>
        <w:jc w:val="both"/>
        <w:rPr>
          <w:lang w:val="uk-UA"/>
        </w:rPr>
      </w:pPr>
      <w:r w:rsidRPr="00E01A4D">
        <w:rPr>
          <w:lang w:val="uk-UA"/>
        </w:rPr>
        <w:t>За результата</w:t>
      </w:r>
      <w:r w:rsidR="001841B8" w:rsidRPr="00E01A4D">
        <w:rPr>
          <w:lang w:val="uk-UA"/>
        </w:rPr>
        <w:t>м</w:t>
      </w:r>
      <w:r w:rsidRPr="00E01A4D">
        <w:rPr>
          <w:lang w:val="uk-UA"/>
        </w:rPr>
        <w:t>и</w:t>
      </w:r>
      <w:r w:rsidR="001841B8" w:rsidRPr="00E01A4D">
        <w:rPr>
          <w:lang w:val="uk-UA"/>
        </w:rPr>
        <w:t xml:space="preserve"> розгляду Заяви </w:t>
      </w:r>
      <w:r w:rsidR="00BE2323" w:rsidRPr="00E01A4D">
        <w:rPr>
          <w:lang w:val="uk-UA"/>
        </w:rPr>
        <w:t>Департаментом природних ресурсів та екології Хмельницької облдержадміністрації (лист від 2</w:t>
      </w:r>
      <w:r w:rsidR="00E01A4D" w:rsidRPr="00E01A4D">
        <w:rPr>
          <w:lang w:val="uk-UA"/>
        </w:rPr>
        <w:t>0</w:t>
      </w:r>
      <w:r w:rsidR="00BE2323" w:rsidRPr="00E01A4D">
        <w:rPr>
          <w:lang w:val="uk-UA"/>
        </w:rPr>
        <w:t>.0</w:t>
      </w:r>
      <w:r w:rsidR="00E01A4D" w:rsidRPr="00E01A4D">
        <w:rPr>
          <w:lang w:val="uk-UA"/>
        </w:rPr>
        <w:t>7</w:t>
      </w:r>
      <w:r w:rsidR="00BE2323" w:rsidRPr="00E01A4D">
        <w:rPr>
          <w:lang w:val="uk-UA"/>
        </w:rPr>
        <w:t>.202</w:t>
      </w:r>
      <w:r w:rsidR="00E01A4D" w:rsidRPr="00E01A4D">
        <w:rPr>
          <w:lang w:val="uk-UA"/>
        </w:rPr>
        <w:t>2</w:t>
      </w:r>
      <w:r w:rsidR="00BE2323" w:rsidRPr="00E01A4D">
        <w:rPr>
          <w:lang w:val="uk-UA"/>
        </w:rPr>
        <w:t xml:space="preserve"> року №</w:t>
      </w:r>
      <w:r w:rsidR="00E01A4D" w:rsidRPr="00E01A4D">
        <w:rPr>
          <w:lang w:val="uk-UA"/>
        </w:rPr>
        <w:t>34-98-2703/22</w:t>
      </w:r>
      <w:r w:rsidR="00BE2323" w:rsidRPr="00E01A4D">
        <w:rPr>
          <w:lang w:val="uk-UA"/>
        </w:rPr>
        <w:t xml:space="preserve">), Департаментом охорони здоров’я Хмельницької облдержадміністрації (лист від </w:t>
      </w:r>
      <w:r w:rsidR="00E01A4D" w:rsidRPr="00E01A4D">
        <w:rPr>
          <w:lang w:val="uk-UA"/>
        </w:rPr>
        <w:t>15</w:t>
      </w:r>
      <w:r w:rsidR="00BE2323" w:rsidRPr="00E01A4D">
        <w:rPr>
          <w:lang w:val="uk-UA"/>
        </w:rPr>
        <w:t>.0</w:t>
      </w:r>
      <w:r w:rsidR="00E01A4D" w:rsidRPr="00E01A4D">
        <w:rPr>
          <w:lang w:val="uk-UA"/>
        </w:rPr>
        <w:t>7</w:t>
      </w:r>
      <w:r w:rsidR="00BE2323" w:rsidRPr="00E01A4D">
        <w:rPr>
          <w:lang w:val="uk-UA"/>
        </w:rPr>
        <w:t>.202</w:t>
      </w:r>
      <w:r w:rsidR="00E01A4D" w:rsidRPr="00E01A4D">
        <w:rPr>
          <w:lang w:val="uk-UA"/>
        </w:rPr>
        <w:t>2 року №02-02</w:t>
      </w:r>
      <w:r w:rsidR="00BE2323" w:rsidRPr="00E01A4D">
        <w:rPr>
          <w:lang w:val="uk-UA"/>
        </w:rPr>
        <w:t>/</w:t>
      </w:r>
      <w:r w:rsidR="00E01A4D" w:rsidRPr="00E01A4D">
        <w:rPr>
          <w:lang w:val="uk-UA"/>
        </w:rPr>
        <w:t>1043</w:t>
      </w:r>
      <w:r w:rsidR="00BE2323" w:rsidRPr="000963BC">
        <w:rPr>
          <w:lang w:val="uk-UA"/>
        </w:rPr>
        <w:t>) надано</w:t>
      </w:r>
      <w:r w:rsidR="00A0333B" w:rsidRPr="000963BC">
        <w:rPr>
          <w:lang w:val="uk-UA"/>
        </w:rPr>
        <w:t xml:space="preserve"> </w:t>
      </w:r>
      <w:r w:rsidR="009C0321" w:rsidRPr="000963BC">
        <w:rPr>
          <w:lang w:val="uk-UA"/>
        </w:rPr>
        <w:t xml:space="preserve">загальні рекомендації щодо дотримання норм </w:t>
      </w:r>
      <w:r w:rsidR="000963BC" w:rsidRPr="000963BC">
        <w:rPr>
          <w:lang w:val="uk-UA"/>
        </w:rPr>
        <w:t xml:space="preserve">законів України «Про забезпечення санітарного та епідемічного благополуччя населення», «Про охорону атмосферного повітря», «Про питну воду, питне водопостачання та водовідведення», «Про відходи», «Про охорону земель», а також </w:t>
      </w:r>
      <w:r w:rsidR="009C0321" w:rsidRPr="000963BC">
        <w:rPr>
          <w:lang w:val="uk-UA"/>
        </w:rPr>
        <w:t xml:space="preserve">Закону України «Про стратегічну екологічну оцінку», які </w:t>
      </w:r>
      <w:r w:rsidR="00BE2323" w:rsidRPr="000963BC">
        <w:rPr>
          <w:lang w:val="uk-UA"/>
        </w:rPr>
        <w:t>враховано</w:t>
      </w:r>
      <w:r w:rsidR="009C0321" w:rsidRPr="000963BC">
        <w:rPr>
          <w:lang w:val="uk-UA"/>
        </w:rPr>
        <w:t xml:space="preserve"> при формуванні Звіту про страт</w:t>
      </w:r>
      <w:r w:rsidR="00E21AD0">
        <w:rPr>
          <w:lang w:val="uk-UA"/>
        </w:rPr>
        <w:t>егічну екологічну оцінку до прое</w:t>
      </w:r>
      <w:r w:rsidR="009C0321" w:rsidRPr="000963BC">
        <w:rPr>
          <w:lang w:val="uk-UA"/>
        </w:rPr>
        <w:t>кту Програми</w:t>
      </w:r>
      <w:r w:rsidR="00BE2323" w:rsidRPr="000963BC">
        <w:rPr>
          <w:lang w:val="uk-UA"/>
        </w:rPr>
        <w:t>.</w:t>
      </w:r>
    </w:p>
    <w:p w:rsidR="00AB6559" w:rsidRPr="00E21AD0" w:rsidRDefault="001841B8" w:rsidP="00F1362D">
      <w:pPr>
        <w:tabs>
          <w:tab w:val="left" w:pos="8787"/>
        </w:tabs>
        <w:ind w:firstLine="567"/>
        <w:jc w:val="both"/>
        <w:rPr>
          <w:lang w:val="uk-UA"/>
        </w:rPr>
      </w:pPr>
      <w:r w:rsidRPr="00E21AD0">
        <w:rPr>
          <w:lang w:val="uk-UA"/>
        </w:rPr>
        <w:t>На виконання ст.13 Закону України «Про стр</w:t>
      </w:r>
      <w:r w:rsidR="00E21AD0">
        <w:rPr>
          <w:lang w:val="uk-UA"/>
        </w:rPr>
        <w:t>атегічну екологічну оцінку» прое</w:t>
      </w:r>
      <w:r w:rsidRPr="00E21AD0">
        <w:rPr>
          <w:lang w:val="uk-UA"/>
        </w:rPr>
        <w:t xml:space="preserve">кт </w:t>
      </w:r>
      <w:r w:rsidR="009C0321" w:rsidRPr="00E21AD0">
        <w:rPr>
          <w:lang w:val="uk-UA"/>
        </w:rPr>
        <w:t>Програми</w:t>
      </w:r>
      <w:r w:rsidRPr="00E21AD0">
        <w:rPr>
          <w:lang w:val="uk-UA"/>
        </w:rPr>
        <w:t xml:space="preserve"> та Звіт про стратегічну екологічну оцінку </w:t>
      </w:r>
      <w:r w:rsidR="00E21AD0" w:rsidRPr="00E21AD0">
        <w:rPr>
          <w:lang w:val="uk-UA"/>
        </w:rPr>
        <w:t>на паперових носіях</w:t>
      </w:r>
      <w:r w:rsidRPr="00E21AD0">
        <w:rPr>
          <w:lang w:val="uk-UA"/>
        </w:rPr>
        <w:t xml:space="preserve"> та </w:t>
      </w:r>
      <w:r w:rsidR="00105FA3">
        <w:rPr>
          <w:lang w:val="uk-UA"/>
        </w:rPr>
        <w:t>у</w:t>
      </w:r>
      <w:r w:rsidR="00E21AD0" w:rsidRPr="00E21AD0">
        <w:rPr>
          <w:lang w:val="uk-UA"/>
        </w:rPr>
        <w:t xml:space="preserve"> </w:t>
      </w:r>
      <w:r w:rsidRPr="00E21AD0">
        <w:rPr>
          <w:lang w:val="uk-UA"/>
        </w:rPr>
        <w:t xml:space="preserve">електронному вигляді </w:t>
      </w:r>
      <w:r w:rsidR="00E21AD0" w:rsidRPr="00E21AD0">
        <w:rPr>
          <w:lang w:val="uk-UA"/>
        </w:rPr>
        <w:t>26</w:t>
      </w:r>
      <w:r w:rsidRPr="00E21AD0">
        <w:rPr>
          <w:lang w:val="uk-UA"/>
        </w:rPr>
        <w:t>.</w:t>
      </w:r>
      <w:r w:rsidR="009C0321" w:rsidRPr="00E21AD0">
        <w:rPr>
          <w:lang w:val="uk-UA"/>
        </w:rPr>
        <w:t>1</w:t>
      </w:r>
      <w:r w:rsidRPr="00E21AD0">
        <w:rPr>
          <w:lang w:val="uk-UA"/>
        </w:rPr>
        <w:t>0.202</w:t>
      </w:r>
      <w:r w:rsidR="00E21AD0" w:rsidRPr="00E21AD0">
        <w:rPr>
          <w:lang w:val="uk-UA"/>
        </w:rPr>
        <w:t>2</w:t>
      </w:r>
      <w:r w:rsidRPr="00E21AD0">
        <w:rPr>
          <w:lang w:val="uk-UA"/>
        </w:rPr>
        <w:t xml:space="preserve"> </w:t>
      </w:r>
      <w:r w:rsidR="00B611FB" w:rsidRPr="00E21AD0">
        <w:rPr>
          <w:lang w:val="uk-UA"/>
        </w:rPr>
        <w:t xml:space="preserve">року </w:t>
      </w:r>
      <w:r w:rsidRPr="00E21AD0">
        <w:rPr>
          <w:lang w:val="uk-UA"/>
        </w:rPr>
        <w:t>над</w:t>
      </w:r>
      <w:r w:rsidR="00A0333B" w:rsidRPr="00E21AD0">
        <w:rPr>
          <w:lang w:val="uk-UA"/>
        </w:rPr>
        <w:t>іслано</w:t>
      </w:r>
      <w:r w:rsidRPr="00E21AD0">
        <w:rPr>
          <w:lang w:val="uk-UA"/>
        </w:rPr>
        <w:t xml:space="preserve"> до Міністерства захисту довкілля та природних ресурсів України (</w:t>
      </w:r>
      <w:r w:rsidR="00A0333B" w:rsidRPr="00E21AD0">
        <w:rPr>
          <w:lang w:val="uk-UA"/>
        </w:rPr>
        <w:t xml:space="preserve">лист </w:t>
      </w:r>
      <w:r w:rsidR="009C0321" w:rsidRPr="00E21AD0">
        <w:rPr>
          <w:lang w:val="uk-UA"/>
        </w:rPr>
        <w:t xml:space="preserve">від </w:t>
      </w:r>
      <w:r w:rsidR="00A0333B" w:rsidRPr="00E21AD0">
        <w:rPr>
          <w:lang w:val="uk-UA"/>
        </w:rPr>
        <w:t>2</w:t>
      </w:r>
      <w:r w:rsidR="009C0321" w:rsidRPr="00E21AD0">
        <w:rPr>
          <w:lang w:val="uk-UA"/>
        </w:rPr>
        <w:t>6</w:t>
      </w:r>
      <w:r w:rsidR="00A0333B" w:rsidRPr="00E21AD0">
        <w:rPr>
          <w:lang w:val="uk-UA"/>
        </w:rPr>
        <w:t>.</w:t>
      </w:r>
      <w:r w:rsidR="009C0321" w:rsidRPr="00E21AD0">
        <w:rPr>
          <w:lang w:val="uk-UA"/>
        </w:rPr>
        <w:t>1</w:t>
      </w:r>
      <w:r w:rsidR="00E21AD0" w:rsidRPr="00E21AD0">
        <w:rPr>
          <w:lang w:val="uk-UA"/>
        </w:rPr>
        <w:t>0.2022</w:t>
      </w:r>
      <w:r w:rsidR="00A0333B" w:rsidRPr="00E21AD0">
        <w:rPr>
          <w:lang w:val="uk-UA"/>
        </w:rPr>
        <w:t xml:space="preserve"> року </w:t>
      </w:r>
      <w:r w:rsidRPr="00E21AD0">
        <w:rPr>
          <w:lang w:val="uk-UA"/>
        </w:rPr>
        <w:t>№</w:t>
      </w:r>
      <w:r w:rsidR="00E21AD0" w:rsidRPr="00E21AD0">
        <w:rPr>
          <w:lang w:val="uk-UA"/>
        </w:rPr>
        <w:t>5234-22</w:t>
      </w:r>
      <w:r w:rsidRPr="00E21AD0">
        <w:rPr>
          <w:lang w:val="uk-UA"/>
        </w:rPr>
        <w:t>), Міністерства охорони здоров’я України (</w:t>
      </w:r>
      <w:r w:rsidR="00A0333B" w:rsidRPr="00E21AD0">
        <w:rPr>
          <w:lang w:val="uk-UA"/>
        </w:rPr>
        <w:t xml:space="preserve">лист </w:t>
      </w:r>
      <w:r w:rsidR="009C0321" w:rsidRPr="00E21AD0">
        <w:rPr>
          <w:lang w:val="uk-UA"/>
        </w:rPr>
        <w:t>від 26</w:t>
      </w:r>
      <w:r w:rsidR="00A0333B" w:rsidRPr="00E21AD0">
        <w:rPr>
          <w:lang w:val="uk-UA"/>
        </w:rPr>
        <w:t>.</w:t>
      </w:r>
      <w:r w:rsidR="009C0321" w:rsidRPr="00E21AD0">
        <w:rPr>
          <w:lang w:val="uk-UA"/>
        </w:rPr>
        <w:t>1</w:t>
      </w:r>
      <w:r w:rsidR="00A0333B" w:rsidRPr="00E21AD0">
        <w:rPr>
          <w:lang w:val="uk-UA"/>
        </w:rPr>
        <w:t>0.202</w:t>
      </w:r>
      <w:r w:rsidR="00E21AD0" w:rsidRPr="00E21AD0">
        <w:rPr>
          <w:lang w:val="uk-UA"/>
        </w:rPr>
        <w:t>2</w:t>
      </w:r>
      <w:r w:rsidR="00A0333B" w:rsidRPr="00E21AD0">
        <w:rPr>
          <w:lang w:val="uk-UA"/>
        </w:rPr>
        <w:t xml:space="preserve"> року </w:t>
      </w:r>
      <w:r w:rsidRPr="00E21AD0">
        <w:rPr>
          <w:lang w:val="uk-UA"/>
        </w:rPr>
        <w:t>№</w:t>
      </w:r>
      <w:r w:rsidR="00E21AD0" w:rsidRPr="00E21AD0">
        <w:rPr>
          <w:lang w:val="uk-UA"/>
        </w:rPr>
        <w:t>5235</w:t>
      </w:r>
      <w:r w:rsidR="00B611FB" w:rsidRPr="00E21AD0">
        <w:rPr>
          <w:lang w:val="uk-UA"/>
        </w:rPr>
        <w:t>-2</w:t>
      </w:r>
      <w:r w:rsidR="00E21AD0" w:rsidRPr="00E21AD0">
        <w:rPr>
          <w:lang w:val="uk-UA"/>
        </w:rPr>
        <w:t>2</w:t>
      </w:r>
      <w:r w:rsidRPr="00E21AD0">
        <w:rPr>
          <w:lang w:val="uk-UA"/>
        </w:rPr>
        <w:t xml:space="preserve">), </w:t>
      </w:r>
      <w:r w:rsidR="00A0333B" w:rsidRPr="00E21AD0">
        <w:rPr>
          <w:lang w:val="uk-UA"/>
        </w:rPr>
        <w:t>Д</w:t>
      </w:r>
      <w:r w:rsidR="00AB6559" w:rsidRPr="00E21AD0">
        <w:rPr>
          <w:lang w:val="uk-UA"/>
        </w:rPr>
        <w:t>епартаменту природних ресурсів та екології Хмельницької облдержадміністрації (</w:t>
      </w:r>
      <w:r w:rsidR="00A0333B" w:rsidRPr="00E21AD0">
        <w:rPr>
          <w:lang w:val="uk-UA"/>
        </w:rPr>
        <w:t xml:space="preserve">лист </w:t>
      </w:r>
      <w:r w:rsidR="009C0321" w:rsidRPr="00E21AD0">
        <w:rPr>
          <w:lang w:val="uk-UA"/>
        </w:rPr>
        <w:t xml:space="preserve">від </w:t>
      </w:r>
      <w:r w:rsidR="00A0333B" w:rsidRPr="00E21AD0">
        <w:rPr>
          <w:lang w:val="uk-UA"/>
        </w:rPr>
        <w:t>2</w:t>
      </w:r>
      <w:r w:rsidR="009C0321" w:rsidRPr="00E21AD0">
        <w:rPr>
          <w:lang w:val="uk-UA"/>
        </w:rPr>
        <w:t>6</w:t>
      </w:r>
      <w:r w:rsidR="00A0333B" w:rsidRPr="00E21AD0">
        <w:rPr>
          <w:lang w:val="uk-UA"/>
        </w:rPr>
        <w:t>.</w:t>
      </w:r>
      <w:r w:rsidR="009C0321" w:rsidRPr="00E21AD0">
        <w:rPr>
          <w:lang w:val="uk-UA"/>
        </w:rPr>
        <w:t>1</w:t>
      </w:r>
      <w:r w:rsidR="00A0333B" w:rsidRPr="00E21AD0">
        <w:rPr>
          <w:lang w:val="uk-UA"/>
        </w:rPr>
        <w:t>0.202</w:t>
      </w:r>
      <w:r w:rsidR="00E21AD0" w:rsidRPr="00E21AD0">
        <w:rPr>
          <w:lang w:val="uk-UA"/>
        </w:rPr>
        <w:t>2</w:t>
      </w:r>
      <w:r w:rsidR="00A0333B" w:rsidRPr="00E21AD0">
        <w:rPr>
          <w:lang w:val="uk-UA"/>
        </w:rPr>
        <w:t xml:space="preserve"> року </w:t>
      </w:r>
      <w:r w:rsidR="009C0321" w:rsidRPr="00E21AD0">
        <w:rPr>
          <w:lang w:val="uk-UA"/>
        </w:rPr>
        <w:t>№</w:t>
      </w:r>
      <w:r w:rsidR="00E21AD0" w:rsidRPr="00E21AD0">
        <w:rPr>
          <w:lang w:val="uk-UA"/>
        </w:rPr>
        <w:t>5236-22</w:t>
      </w:r>
      <w:r w:rsidR="00AB6559" w:rsidRPr="00E21AD0">
        <w:rPr>
          <w:lang w:val="uk-UA"/>
        </w:rPr>
        <w:t>),</w:t>
      </w:r>
      <w:r w:rsidR="00A0333B" w:rsidRPr="00E21AD0">
        <w:rPr>
          <w:lang w:val="uk-UA"/>
        </w:rPr>
        <w:t xml:space="preserve"> Д</w:t>
      </w:r>
      <w:r w:rsidR="00AB6559" w:rsidRPr="00E21AD0">
        <w:rPr>
          <w:lang w:val="uk-UA"/>
        </w:rPr>
        <w:t>епартаменту охорони здоров’я Хмельницької облдержадміністрації (</w:t>
      </w:r>
      <w:r w:rsidR="009C0321" w:rsidRPr="00E21AD0">
        <w:rPr>
          <w:lang w:val="uk-UA"/>
        </w:rPr>
        <w:t>лист від 26.10.202</w:t>
      </w:r>
      <w:r w:rsidR="00E21AD0" w:rsidRPr="00E21AD0">
        <w:rPr>
          <w:lang w:val="uk-UA"/>
        </w:rPr>
        <w:t>2</w:t>
      </w:r>
      <w:r w:rsidR="009C0321" w:rsidRPr="00E21AD0">
        <w:rPr>
          <w:lang w:val="uk-UA"/>
        </w:rPr>
        <w:t xml:space="preserve"> року №</w:t>
      </w:r>
      <w:r w:rsidR="00E21AD0" w:rsidRPr="00E21AD0">
        <w:rPr>
          <w:lang w:val="uk-UA"/>
        </w:rPr>
        <w:t>5237-22</w:t>
      </w:r>
      <w:r w:rsidR="00AB6559" w:rsidRPr="00E21AD0">
        <w:rPr>
          <w:lang w:val="uk-UA"/>
        </w:rPr>
        <w:t>)</w:t>
      </w:r>
      <w:r w:rsidR="00A0333B" w:rsidRPr="00E21AD0">
        <w:rPr>
          <w:lang w:val="uk-UA"/>
        </w:rPr>
        <w:t>.</w:t>
      </w:r>
      <w:r w:rsidR="00AB6559" w:rsidRPr="00E21AD0">
        <w:rPr>
          <w:lang w:val="uk-UA"/>
        </w:rPr>
        <w:t xml:space="preserve"> </w:t>
      </w:r>
    </w:p>
    <w:p w:rsidR="00A0333B" w:rsidRPr="00E21AD0" w:rsidRDefault="001841B8" w:rsidP="00F1362D">
      <w:pPr>
        <w:tabs>
          <w:tab w:val="left" w:pos="8787"/>
        </w:tabs>
        <w:ind w:firstLine="567"/>
        <w:jc w:val="both"/>
        <w:rPr>
          <w:lang w:val="uk-UA"/>
        </w:rPr>
      </w:pPr>
      <w:r w:rsidRPr="00E21AD0">
        <w:rPr>
          <w:lang w:val="uk-UA"/>
        </w:rPr>
        <w:t xml:space="preserve"> Крім цього, </w:t>
      </w:r>
      <w:r w:rsidR="00E21AD0" w:rsidRPr="00E21AD0">
        <w:rPr>
          <w:lang w:val="uk-UA"/>
        </w:rPr>
        <w:t>26</w:t>
      </w:r>
      <w:r w:rsidR="009C0321" w:rsidRPr="00E21AD0">
        <w:rPr>
          <w:lang w:val="uk-UA"/>
        </w:rPr>
        <w:t>.10</w:t>
      </w:r>
      <w:r w:rsidR="00E21AD0" w:rsidRPr="00E21AD0">
        <w:rPr>
          <w:lang w:val="uk-UA"/>
        </w:rPr>
        <w:t>.2022</w:t>
      </w:r>
      <w:r w:rsidR="00A0333B" w:rsidRPr="00E21AD0">
        <w:rPr>
          <w:lang w:val="uk-UA"/>
        </w:rPr>
        <w:t xml:space="preserve"> року </w:t>
      </w:r>
      <w:r w:rsidR="00537F32" w:rsidRPr="00E21AD0">
        <w:rPr>
          <w:lang w:val="uk-UA"/>
        </w:rPr>
        <w:t>п</w:t>
      </w:r>
      <w:r w:rsidR="00537F32">
        <w:rPr>
          <w:lang w:val="uk-UA"/>
        </w:rPr>
        <w:t xml:space="preserve">овідомлення про оприлюднення </w:t>
      </w:r>
      <w:r w:rsidR="00537F32" w:rsidRPr="00E21AD0">
        <w:rPr>
          <w:lang w:val="uk-UA"/>
        </w:rPr>
        <w:t>проект</w:t>
      </w:r>
      <w:r w:rsidR="00537F32">
        <w:rPr>
          <w:lang w:val="uk-UA"/>
        </w:rPr>
        <w:t>у</w:t>
      </w:r>
      <w:r w:rsidR="00537F32" w:rsidRPr="00E21AD0">
        <w:rPr>
          <w:lang w:val="uk-UA"/>
        </w:rPr>
        <w:t xml:space="preserve"> Програми, Звіт</w:t>
      </w:r>
      <w:r w:rsidR="00537F32">
        <w:rPr>
          <w:lang w:val="uk-UA"/>
        </w:rPr>
        <w:t>у</w:t>
      </w:r>
      <w:r w:rsidR="00537F32" w:rsidRPr="00E21AD0">
        <w:rPr>
          <w:lang w:val="uk-UA"/>
        </w:rPr>
        <w:t xml:space="preserve"> про стратегічну екологічну оцінку </w:t>
      </w:r>
      <w:r w:rsidR="00537F32">
        <w:rPr>
          <w:lang w:val="uk-UA"/>
        </w:rPr>
        <w:t xml:space="preserve">розміщено </w:t>
      </w:r>
      <w:r w:rsidR="00A0333B" w:rsidRPr="00E21AD0">
        <w:rPr>
          <w:lang w:val="uk-UA"/>
        </w:rPr>
        <w:t xml:space="preserve">на офіційному сайті Хмельницької міської ради </w:t>
      </w:r>
      <w:r w:rsidR="00AB6559" w:rsidRPr="00E21AD0">
        <w:rPr>
          <w:lang w:val="uk-UA"/>
        </w:rPr>
        <w:t xml:space="preserve">та </w:t>
      </w:r>
      <w:r w:rsidRPr="00E21AD0">
        <w:rPr>
          <w:lang w:val="uk-UA"/>
        </w:rPr>
        <w:t xml:space="preserve">надруковано </w:t>
      </w:r>
      <w:r w:rsidR="00F90FAA" w:rsidRPr="00E21AD0">
        <w:rPr>
          <w:lang w:val="uk-UA"/>
        </w:rPr>
        <w:t>у газетах «Актуально для подолян» та «Є»</w:t>
      </w:r>
      <w:r w:rsidRPr="00E21AD0">
        <w:rPr>
          <w:lang w:val="uk-UA"/>
        </w:rPr>
        <w:t xml:space="preserve">. </w:t>
      </w:r>
    </w:p>
    <w:p w:rsidR="00A0333B" w:rsidRDefault="00105FA3" w:rsidP="00F1362D">
      <w:pPr>
        <w:tabs>
          <w:tab w:val="left" w:pos="8787"/>
        </w:tabs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1841B8" w:rsidRPr="00E21AD0">
        <w:rPr>
          <w:lang w:val="uk-UA"/>
        </w:rPr>
        <w:t xml:space="preserve">ід </w:t>
      </w:r>
      <w:r w:rsidR="00A0333B" w:rsidRPr="00E21AD0">
        <w:rPr>
          <w:lang w:val="uk-UA"/>
        </w:rPr>
        <w:t>Д</w:t>
      </w:r>
      <w:r w:rsidR="00F90FAA" w:rsidRPr="00E21AD0">
        <w:rPr>
          <w:lang w:val="uk-UA"/>
        </w:rPr>
        <w:t xml:space="preserve">епартаменту </w:t>
      </w:r>
      <w:r w:rsidR="00826E09" w:rsidRPr="00E21AD0">
        <w:rPr>
          <w:lang w:val="uk-UA"/>
        </w:rPr>
        <w:t>охорони здоров’я</w:t>
      </w:r>
      <w:r w:rsidR="00F90FAA" w:rsidRPr="00E21AD0">
        <w:rPr>
          <w:lang w:val="uk-UA"/>
        </w:rPr>
        <w:t xml:space="preserve"> Хмельницької облдержадміністрації </w:t>
      </w:r>
      <w:r w:rsidR="00BE2323" w:rsidRPr="00E21AD0">
        <w:rPr>
          <w:lang w:val="uk-UA"/>
        </w:rPr>
        <w:t xml:space="preserve">отримано </w:t>
      </w:r>
      <w:r w:rsidR="00A0333B" w:rsidRPr="00E21AD0">
        <w:rPr>
          <w:lang w:val="uk-UA"/>
        </w:rPr>
        <w:t xml:space="preserve">лист </w:t>
      </w:r>
      <w:r w:rsidR="00E21AD0" w:rsidRPr="00E21AD0">
        <w:rPr>
          <w:lang w:val="uk-UA"/>
        </w:rPr>
        <w:t>від 28</w:t>
      </w:r>
      <w:r w:rsidR="00826E09" w:rsidRPr="00E21AD0">
        <w:rPr>
          <w:lang w:val="uk-UA"/>
        </w:rPr>
        <w:t>.1</w:t>
      </w:r>
      <w:r w:rsidR="00E21AD0" w:rsidRPr="00E21AD0">
        <w:rPr>
          <w:lang w:val="uk-UA"/>
        </w:rPr>
        <w:t>0</w:t>
      </w:r>
      <w:r w:rsidR="00091653" w:rsidRPr="00E21AD0">
        <w:rPr>
          <w:lang w:val="uk-UA"/>
        </w:rPr>
        <w:t>.202</w:t>
      </w:r>
      <w:r w:rsidR="00E21AD0" w:rsidRPr="00E21AD0">
        <w:rPr>
          <w:lang w:val="uk-UA"/>
        </w:rPr>
        <w:t>2</w:t>
      </w:r>
      <w:r w:rsidR="00091653" w:rsidRPr="00E21AD0">
        <w:rPr>
          <w:lang w:val="uk-UA"/>
        </w:rPr>
        <w:t xml:space="preserve"> року </w:t>
      </w:r>
      <w:r w:rsidR="00F90FAA" w:rsidRPr="00E21AD0">
        <w:rPr>
          <w:lang w:val="uk-UA"/>
        </w:rPr>
        <w:t>№</w:t>
      </w:r>
      <w:r w:rsidR="00E21AD0" w:rsidRPr="00E21AD0">
        <w:rPr>
          <w:lang w:val="uk-UA"/>
        </w:rPr>
        <w:t>02-02</w:t>
      </w:r>
      <w:r w:rsidR="00826E09" w:rsidRPr="00E21AD0">
        <w:rPr>
          <w:lang w:val="uk-UA"/>
        </w:rPr>
        <w:t>/</w:t>
      </w:r>
      <w:r w:rsidR="00E21AD0" w:rsidRPr="00E21AD0">
        <w:rPr>
          <w:lang w:val="uk-UA"/>
        </w:rPr>
        <w:t>1783</w:t>
      </w:r>
      <w:r w:rsidR="00A0333B" w:rsidRPr="00E21AD0">
        <w:rPr>
          <w:lang w:val="uk-UA"/>
        </w:rPr>
        <w:t xml:space="preserve">, у якому </w:t>
      </w:r>
      <w:r w:rsidR="00537F32">
        <w:rPr>
          <w:lang w:val="uk-UA"/>
        </w:rPr>
        <w:t xml:space="preserve">надано загальні рекомендації щодо дотримання </w:t>
      </w:r>
      <w:r w:rsidR="00826E09" w:rsidRPr="00E21AD0">
        <w:rPr>
          <w:lang w:val="uk-UA"/>
        </w:rPr>
        <w:t>вимог Закону України «Про забезпечення санітарного та епіде</w:t>
      </w:r>
      <w:r w:rsidR="00537F32">
        <w:rPr>
          <w:lang w:val="uk-UA"/>
        </w:rPr>
        <w:t>мічного благополуччя населення»</w:t>
      </w:r>
      <w:r w:rsidR="00826E09" w:rsidRPr="00E21AD0">
        <w:rPr>
          <w:lang w:val="uk-UA"/>
        </w:rPr>
        <w:t>.</w:t>
      </w:r>
    </w:p>
    <w:p w:rsidR="009A6CB8" w:rsidRDefault="009A6CB8" w:rsidP="00F1362D">
      <w:pPr>
        <w:tabs>
          <w:tab w:val="left" w:pos="8787"/>
        </w:tabs>
        <w:ind w:firstLine="567"/>
        <w:jc w:val="both"/>
        <w:rPr>
          <w:lang w:val="uk-UA"/>
        </w:rPr>
      </w:pPr>
      <w:r w:rsidRPr="009A6CB8">
        <w:rPr>
          <w:lang w:val="uk-UA"/>
        </w:rPr>
        <w:t xml:space="preserve">Від ДУ «Хмельницький обласний центр контролю та профілактики </w:t>
      </w:r>
      <w:proofErr w:type="spellStart"/>
      <w:r w:rsidRPr="009A6CB8">
        <w:rPr>
          <w:lang w:val="uk-UA"/>
        </w:rPr>
        <w:t>хвороб</w:t>
      </w:r>
      <w:proofErr w:type="spellEnd"/>
      <w:r w:rsidRPr="009A6CB8">
        <w:rPr>
          <w:lang w:val="uk-UA"/>
        </w:rPr>
        <w:t xml:space="preserve"> Міністерства охорони здоров’я України» (лист від 08.11.2022 року №06.01/967) </w:t>
      </w:r>
      <w:r w:rsidR="000F2B9A">
        <w:rPr>
          <w:lang w:val="uk-UA"/>
        </w:rPr>
        <w:t xml:space="preserve">та </w:t>
      </w:r>
      <w:r w:rsidR="000F2B9A" w:rsidRPr="000F2B9A">
        <w:rPr>
          <w:lang w:val="uk-UA"/>
        </w:rPr>
        <w:t xml:space="preserve">Міністерства захисту довкілля та природних ресурсів України (лист від 21.11.2022 року №25/5-21/15983-22) </w:t>
      </w:r>
      <w:r w:rsidRPr="009A6CB8">
        <w:rPr>
          <w:lang w:val="uk-UA"/>
        </w:rPr>
        <w:t>надійшли пропозиції та зауваження, які опрацьовано з профільними виконавчими органами міської ради. За результатами підготовлено висновки щодо врахування/не врахування пропозицій</w:t>
      </w:r>
      <w:r w:rsidR="00537F32">
        <w:rPr>
          <w:lang w:val="uk-UA"/>
        </w:rPr>
        <w:t xml:space="preserve"> (додаються)</w:t>
      </w:r>
      <w:r w:rsidRPr="009A6CB8">
        <w:rPr>
          <w:lang w:val="uk-UA"/>
        </w:rPr>
        <w:t>.</w:t>
      </w:r>
    </w:p>
    <w:p w:rsidR="00537F32" w:rsidRPr="00F75E08" w:rsidRDefault="00105FA3" w:rsidP="00537F32">
      <w:pPr>
        <w:tabs>
          <w:tab w:val="left" w:pos="8787"/>
        </w:tabs>
        <w:ind w:firstLine="567"/>
        <w:jc w:val="both"/>
        <w:rPr>
          <w:lang w:val="uk-UA"/>
        </w:rPr>
      </w:pPr>
      <w:r w:rsidRPr="00E21AD0">
        <w:rPr>
          <w:lang w:val="uk-UA"/>
        </w:rPr>
        <w:t>Станом на 2</w:t>
      </w:r>
      <w:r>
        <w:rPr>
          <w:lang w:val="uk-UA"/>
        </w:rPr>
        <w:t>7</w:t>
      </w:r>
      <w:r w:rsidRPr="00E21AD0">
        <w:rPr>
          <w:lang w:val="uk-UA"/>
        </w:rPr>
        <w:t xml:space="preserve">.11.2022 року </w:t>
      </w:r>
      <w:r>
        <w:rPr>
          <w:lang w:val="uk-UA"/>
        </w:rPr>
        <w:t>в</w:t>
      </w:r>
      <w:r w:rsidR="00537F32" w:rsidRPr="00F75E08">
        <w:rPr>
          <w:lang w:val="uk-UA"/>
        </w:rPr>
        <w:t>ід Департаменту природних ресурсів та екології Хмельницької облдержадміністрації зауваження та пропозиції не над</w:t>
      </w:r>
      <w:r w:rsidR="007938AA">
        <w:rPr>
          <w:lang w:val="uk-UA"/>
        </w:rPr>
        <w:t>ходили</w:t>
      </w:r>
      <w:r w:rsidR="00537F32" w:rsidRPr="00F75E08">
        <w:rPr>
          <w:lang w:val="uk-UA"/>
        </w:rPr>
        <w:t xml:space="preserve">. </w:t>
      </w:r>
    </w:p>
    <w:p w:rsidR="00537F32" w:rsidRPr="00023529" w:rsidRDefault="00537F32" w:rsidP="00537F32">
      <w:pPr>
        <w:tabs>
          <w:tab w:val="left" w:pos="8787"/>
        </w:tabs>
        <w:ind w:firstLine="567"/>
        <w:jc w:val="both"/>
        <w:rPr>
          <w:lang w:val="uk-UA"/>
        </w:rPr>
      </w:pPr>
      <w:r w:rsidRPr="00023529">
        <w:rPr>
          <w:lang w:val="uk-UA"/>
        </w:rPr>
        <w:t>У контексті стра</w:t>
      </w:r>
      <w:r w:rsidR="007938AA">
        <w:rPr>
          <w:lang w:val="uk-UA"/>
        </w:rPr>
        <w:t>тегічної екологічної оцінки прое</w:t>
      </w:r>
      <w:r w:rsidRPr="00023529">
        <w:rPr>
          <w:lang w:val="uk-UA"/>
        </w:rPr>
        <w:t>кту Програми з метою розгляду виправданих альтернатив та їх екологічних наслідків розглянуто «Нульову альтернативу», тоб</w:t>
      </w:r>
      <w:r w:rsidR="003E14E2">
        <w:rPr>
          <w:lang w:val="uk-UA"/>
        </w:rPr>
        <w:t>то опис, прогнозування та оцінку</w:t>
      </w:r>
      <w:r w:rsidRPr="00023529">
        <w:rPr>
          <w:lang w:val="uk-UA"/>
        </w:rPr>
        <w:t xml:space="preserve"> ситуації у випадку незатвердження або </w:t>
      </w:r>
      <w:proofErr w:type="spellStart"/>
      <w:r w:rsidRPr="00023529">
        <w:rPr>
          <w:lang w:val="uk-UA"/>
        </w:rPr>
        <w:t>нереалізації</w:t>
      </w:r>
      <w:proofErr w:type="spellEnd"/>
      <w:r w:rsidRPr="00023529">
        <w:rPr>
          <w:lang w:val="uk-UA"/>
        </w:rPr>
        <w:t xml:space="preserve"> Програми</w:t>
      </w:r>
      <w:r w:rsidR="003E14E2">
        <w:rPr>
          <w:lang w:val="uk-UA"/>
        </w:rPr>
        <w:t>,</w:t>
      </w:r>
      <w:r w:rsidRPr="00023529">
        <w:rPr>
          <w:lang w:val="uk-UA"/>
        </w:rPr>
        <w:t xml:space="preserve"> та «Територіальну альтернативу». </w:t>
      </w:r>
    </w:p>
    <w:p w:rsidR="00537F32" w:rsidRPr="00023529" w:rsidRDefault="00537F32" w:rsidP="00537F32">
      <w:pPr>
        <w:tabs>
          <w:tab w:val="left" w:pos="8787"/>
        </w:tabs>
        <w:ind w:firstLine="567"/>
        <w:jc w:val="both"/>
        <w:rPr>
          <w:lang w:val="uk-UA"/>
        </w:rPr>
      </w:pPr>
      <w:r w:rsidRPr="00023529">
        <w:rPr>
          <w:lang w:val="uk-UA"/>
        </w:rPr>
        <w:lastRenderedPageBreak/>
        <w:t>Враховуючи результати аналізу основних тенденцій економічного і соціального розвитку громади, припущення щодо впливу зовнішніх і внутрішніх чинників, прийнято рішення обрати саме цей документ державного планування у тому вигляді, у якому він запропонований до затвердження.</w:t>
      </w:r>
    </w:p>
    <w:p w:rsidR="00537F32" w:rsidRPr="00023529" w:rsidRDefault="00537F32" w:rsidP="00537F32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Pr="00023529" w:rsidRDefault="00537F32" w:rsidP="00537F32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Pr="00023529" w:rsidRDefault="00537F32" w:rsidP="00537F32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Pr="00023529" w:rsidRDefault="00537F32" w:rsidP="00537F32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537F32">
      <w:pPr>
        <w:tabs>
          <w:tab w:val="left" w:pos="8787"/>
        </w:tabs>
        <w:jc w:val="both"/>
        <w:rPr>
          <w:lang w:val="uk-UA"/>
        </w:rPr>
      </w:pPr>
      <w:r w:rsidRPr="00023529">
        <w:rPr>
          <w:lang w:val="uk-UA"/>
        </w:rPr>
        <w:t>В. о. начальника управління економіки                                                                 Н. САХАРОВА</w:t>
      </w:r>
      <w:r>
        <w:rPr>
          <w:lang w:val="uk-UA"/>
        </w:rPr>
        <w:tab/>
      </w:r>
      <w:r>
        <w:rPr>
          <w:lang w:val="uk-UA"/>
        </w:rPr>
        <w:tab/>
      </w: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E8353B" w:rsidRDefault="00E8353B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E8353B" w:rsidRDefault="00E8353B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537F32" w:rsidRDefault="00537F32" w:rsidP="00F1362D">
      <w:pPr>
        <w:tabs>
          <w:tab w:val="left" w:pos="8787"/>
        </w:tabs>
        <w:ind w:firstLine="567"/>
        <w:jc w:val="both"/>
        <w:rPr>
          <w:lang w:val="uk-UA"/>
        </w:rPr>
      </w:pPr>
    </w:p>
    <w:p w:rsidR="00E8353B" w:rsidRDefault="00E8353B" w:rsidP="00537F32">
      <w:pPr>
        <w:tabs>
          <w:tab w:val="left" w:pos="8787"/>
        </w:tabs>
        <w:ind w:firstLine="567"/>
        <w:jc w:val="right"/>
        <w:rPr>
          <w:lang w:val="uk-UA"/>
        </w:rPr>
        <w:sectPr w:rsidR="00E8353B" w:rsidSect="00014F4E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537F32" w:rsidRPr="00E21AD0" w:rsidRDefault="00537F32" w:rsidP="00537F32">
      <w:pPr>
        <w:tabs>
          <w:tab w:val="left" w:pos="8787"/>
        </w:tabs>
        <w:ind w:firstLine="567"/>
        <w:jc w:val="right"/>
        <w:rPr>
          <w:lang w:val="uk-UA"/>
        </w:rPr>
      </w:pPr>
      <w:r>
        <w:rPr>
          <w:lang w:val="uk-UA"/>
        </w:rPr>
        <w:lastRenderedPageBreak/>
        <w:t>Додаток</w:t>
      </w:r>
    </w:p>
    <w:p w:rsidR="00B62733" w:rsidRPr="00ED36FC" w:rsidRDefault="00B62733" w:rsidP="00826E09">
      <w:pPr>
        <w:tabs>
          <w:tab w:val="left" w:pos="8787"/>
        </w:tabs>
        <w:ind w:firstLine="567"/>
        <w:jc w:val="both"/>
        <w:rPr>
          <w:highlight w:val="yellow"/>
          <w:lang w:val="uk-UA"/>
        </w:rPr>
      </w:pPr>
    </w:p>
    <w:tbl>
      <w:tblPr>
        <w:tblStyle w:val="a9"/>
        <w:tblW w:w="15877" w:type="dxa"/>
        <w:tblInd w:w="-431" w:type="dxa"/>
        <w:tblLook w:val="04A0" w:firstRow="1" w:lastRow="0" w:firstColumn="1" w:lastColumn="0" w:noHBand="0" w:noVBand="1"/>
      </w:tblPr>
      <w:tblGrid>
        <w:gridCol w:w="458"/>
        <w:gridCol w:w="6205"/>
        <w:gridCol w:w="1843"/>
        <w:gridCol w:w="7371"/>
      </w:tblGrid>
      <w:tr w:rsidR="00B62733" w:rsidRPr="00ED36FC" w:rsidTr="00801B34">
        <w:tc>
          <w:tcPr>
            <w:tcW w:w="458" w:type="dxa"/>
          </w:tcPr>
          <w:p w:rsidR="00B62733" w:rsidRPr="000F2B9A" w:rsidRDefault="00B62733" w:rsidP="00064667">
            <w:pPr>
              <w:jc w:val="center"/>
              <w:rPr>
                <w:b/>
                <w:lang w:val="uk-UA"/>
              </w:rPr>
            </w:pPr>
            <w:r w:rsidRPr="000F2B9A">
              <w:rPr>
                <w:b/>
                <w:lang w:val="uk-UA"/>
              </w:rPr>
              <w:t>№</w:t>
            </w:r>
          </w:p>
        </w:tc>
        <w:tc>
          <w:tcPr>
            <w:tcW w:w="6205" w:type="dxa"/>
          </w:tcPr>
          <w:p w:rsidR="00B62733" w:rsidRPr="000F2B9A" w:rsidRDefault="00B62733" w:rsidP="00064667">
            <w:pPr>
              <w:jc w:val="center"/>
              <w:rPr>
                <w:b/>
                <w:lang w:val="uk-UA"/>
              </w:rPr>
            </w:pPr>
            <w:r w:rsidRPr="000F2B9A">
              <w:rPr>
                <w:b/>
                <w:lang w:val="uk-UA"/>
              </w:rPr>
              <w:t>Зауваження/пропозиція</w:t>
            </w:r>
          </w:p>
        </w:tc>
        <w:tc>
          <w:tcPr>
            <w:tcW w:w="1843" w:type="dxa"/>
          </w:tcPr>
          <w:p w:rsidR="00C32736" w:rsidRPr="000F2B9A" w:rsidRDefault="00B62733" w:rsidP="00064667">
            <w:pPr>
              <w:jc w:val="center"/>
              <w:rPr>
                <w:b/>
                <w:lang w:val="uk-UA"/>
              </w:rPr>
            </w:pPr>
            <w:r w:rsidRPr="000F2B9A">
              <w:rPr>
                <w:b/>
                <w:lang w:val="uk-UA"/>
              </w:rPr>
              <w:t>Результат: враховано/</w:t>
            </w:r>
          </w:p>
          <w:p w:rsidR="00C32736" w:rsidRPr="000F2B9A" w:rsidRDefault="00C32736" w:rsidP="00064667">
            <w:pPr>
              <w:jc w:val="center"/>
              <w:rPr>
                <w:b/>
                <w:lang w:val="uk-UA"/>
              </w:rPr>
            </w:pPr>
            <w:r w:rsidRPr="000F2B9A">
              <w:rPr>
                <w:b/>
                <w:lang w:val="uk-UA"/>
              </w:rPr>
              <w:t>враховано</w:t>
            </w:r>
          </w:p>
          <w:p w:rsidR="00C32736" w:rsidRPr="000F2B9A" w:rsidRDefault="00C32736" w:rsidP="00064667">
            <w:pPr>
              <w:jc w:val="center"/>
              <w:rPr>
                <w:b/>
                <w:lang w:val="uk-UA"/>
              </w:rPr>
            </w:pPr>
            <w:r w:rsidRPr="000F2B9A">
              <w:rPr>
                <w:b/>
                <w:lang w:val="uk-UA"/>
              </w:rPr>
              <w:t xml:space="preserve"> частково</w:t>
            </w:r>
            <w:r w:rsidR="00B62733" w:rsidRPr="000F2B9A">
              <w:rPr>
                <w:b/>
                <w:lang w:val="uk-UA"/>
              </w:rPr>
              <w:t>/</w:t>
            </w:r>
          </w:p>
          <w:p w:rsidR="00B62733" w:rsidRPr="000F2B9A" w:rsidRDefault="00B62733" w:rsidP="00064667">
            <w:pPr>
              <w:jc w:val="center"/>
              <w:rPr>
                <w:b/>
                <w:lang w:val="uk-UA"/>
              </w:rPr>
            </w:pPr>
            <w:r w:rsidRPr="000F2B9A">
              <w:rPr>
                <w:b/>
                <w:lang w:val="uk-UA"/>
              </w:rPr>
              <w:t>не враховано</w:t>
            </w:r>
          </w:p>
        </w:tc>
        <w:tc>
          <w:tcPr>
            <w:tcW w:w="7371" w:type="dxa"/>
          </w:tcPr>
          <w:p w:rsidR="00B62733" w:rsidRPr="000F2B9A" w:rsidRDefault="00B62733" w:rsidP="00064667">
            <w:pPr>
              <w:jc w:val="center"/>
              <w:rPr>
                <w:b/>
                <w:lang w:val="uk-UA"/>
              </w:rPr>
            </w:pPr>
            <w:r w:rsidRPr="000F2B9A">
              <w:rPr>
                <w:b/>
                <w:lang w:val="uk-UA"/>
              </w:rPr>
              <w:t>Обґрунтування</w:t>
            </w:r>
          </w:p>
        </w:tc>
      </w:tr>
      <w:tr w:rsidR="00B62733" w:rsidRPr="00ED36FC" w:rsidTr="00E8353B">
        <w:tc>
          <w:tcPr>
            <w:tcW w:w="458" w:type="dxa"/>
          </w:tcPr>
          <w:p w:rsidR="00B62733" w:rsidRPr="00ED36FC" w:rsidRDefault="00B62733" w:rsidP="00064667">
            <w:pPr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15419" w:type="dxa"/>
            <w:gridSpan w:val="3"/>
          </w:tcPr>
          <w:p w:rsidR="00B62733" w:rsidRPr="00ED36FC" w:rsidRDefault="00CD02C7" w:rsidP="00064667">
            <w:pPr>
              <w:spacing w:before="120" w:after="120"/>
              <w:jc w:val="center"/>
              <w:rPr>
                <w:b/>
                <w:highlight w:val="yellow"/>
                <w:lang w:val="uk-UA"/>
              </w:rPr>
            </w:pPr>
            <w:r>
              <w:rPr>
                <w:b/>
                <w:lang w:val="uk-UA"/>
              </w:rPr>
              <w:t>Прое</w:t>
            </w:r>
            <w:r w:rsidR="00B62733" w:rsidRPr="000F2B9A">
              <w:rPr>
                <w:b/>
                <w:lang w:val="uk-UA"/>
              </w:rPr>
              <w:t>кт Програми економічного і соціального розвитку Хмельницької місько</w:t>
            </w:r>
            <w:r w:rsidR="000F2B9A" w:rsidRPr="000F2B9A">
              <w:rPr>
                <w:b/>
                <w:lang w:val="uk-UA"/>
              </w:rPr>
              <w:t>ї територіальної громади на 2023</w:t>
            </w:r>
            <w:r w:rsidR="00B62733" w:rsidRPr="000F2B9A">
              <w:rPr>
                <w:b/>
                <w:lang w:val="uk-UA"/>
              </w:rPr>
              <w:t xml:space="preserve"> рік</w:t>
            </w:r>
          </w:p>
        </w:tc>
      </w:tr>
      <w:tr w:rsidR="00B62733" w:rsidRPr="00E8353B" w:rsidTr="00F95A2E">
        <w:trPr>
          <w:trHeight w:val="1910"/>
        </w:trPr>
        <w:tc>
          <w:tcPr>
            <w:tcW w:w="458" w:type="dxa"/>
          </w:tcPr>
          <w:p w:rsidR="00B62733" w:rsidRPr="00CD6F9A" w:rsidRDefault="00CD6F9A" w:rsidP="00064667">
            <w:pPr>
              <w:jc w:val="center"/>
              <w:rPr>
                <w:lang w:val="uk-UA"/>
              </w:rPr>
            </w:pPr>
            <w:r w:rsidRPr="00CD6F9A">
              <w:rPr>
                <w:lang w:val="uk-UA"/>
              </w:rPr>
              <w:t>1.</w:t>
            </w:r>
          </w:p>
        </w:tc>
        <w:tc>
          <w:tcPr>
            <w:tcW w:w="6205" w:type="dxa"/>
          </w:tcPr>
          <w:p w:rsidR="00B62733" w:rsidRPr="00ED36FC" w:rsidRDefault="000F5DD8" w:rsidP="007938AA">
            <w:pPr>
              <w:pStyle w:val="a6"/>
              <w:ind w:left="0"/>
              <w:jc w:val="both"/>
              <w:rPr>
                <w:bCs/>
                <w:highlight w:val="yellow"/>
                <w:lang w:val="uk-UA" w:eastAsia="uk-UA"/>
              </w:rPr>
            </w:pPr>
            <w:r w:rsidRPr="000F5DD8">
              <w:rPr>
                <w:bCs/>
                <w:lang w:val="uk-UA" w:eastAsia="uk-UA"/>
              </w:rPr>
              <w:t xml:space="preserve">Передбачити встановлення стаціонарних постів і контрольних пунктів спостереження за станом забруднення атмосферного повітря в межах житлової забудови та на межі СЗЗ підприємств (концентрація шкідливих речовин на межі СЗЗ підприємств та в районі житлової забудови не повинна перевищувати нормативно встановленої ГДК) </w:t>
            </w:r>
          </w:p>
        </w:tc>
        <w:tc>
          <w:tcPr>
            <w:tcW w:w="1843" w:type="dxa"/>
          </w:tcPr>
          <w:p w:rsidR="00B62733" w:rsidRPr="00ED36FC" w:rsidRDefault="00B1691B" w:rsidP="00064667">
            <w:pPr>
              <w:jc w:val="center"/>
              <w:rPr>
                <w:highlight w:val="yellow"/>
                <w:lang w:val="uk-UA"/>
              </w:rPr>
            </w:pPr>
            <w:r w:rsidRPr="001E7F22">
              <w:rPr>
                <w:lang w:val="uk-UA"/>
              </w:rPr>
              <w:t>Враховано</w:t>
            </w:r>
            <w:r>
              <w:rPr>
                <w:lang w:val="uk-UA"/>
              </w:rPr>
              <w:t xml:space="preserve"> частково</w:t>
            </w:r>
          </w:p>
        </w:tc>
        <w:tc>
          <w:tcPr>
            <w:tcW w:w="7371" w:type="dxa"/>
          </w:tcPr>
          <w:p w:rsidR="00B1691B" w:rsidRPr="00B1691B" w:rsidRDefault="00B1691B" w:rsidP="00B1691B">
            <w:pPr>
              <w:jc w:val="both"/>
              <w:rPr>
                <w:bCs/>
                <w:lang w:val="uk-UA" w:eastAsia="uk-UA"/>
              </w:rPr>
            </w:pPr>
            <w:r w:rsidRPr="00B1691B">
              <w:rPr>
                <w:bCs/>
                <w:lang w:val="uk-UA" w:eastAsia="uk-UA"/>
              </w:rPr>
              <w:t>На даний час моніторинг стану атмосферного повітря здійснюється на підставі вимірювань на двох стаціонарних постах.</w:t>
            </w:r>
          </w:p>
          <w:p w:rsidR="00A84331" w:rsidRPr="00ED36FC" w:rsidRDefault="00B1691B" w:rsidP="00B1691B">
            <w:pPr>
              <w:jc w:val="both"/>
              <w:rPr>
                <w:b/>
                <w:bCs/>
                <w:highlight w:val="yellow"/>
                <w:lang w:val="uk-UA" w:eastAsia="uk-UA"/>
              </w:rPr>
            </w:pPr>
            <w:r w:rsidRPr="00B1691B">
              <w:rPr>
                <w:bCs/>
                <w:lang w:val="uk-UA" w:eastAsia="uk-UA"/>
              </w:rPr>
              <w:t xml:space="preserve">Заходи з модернізації існуючих стаціонарних постів та встановлення нових індикативних постів передбачено у </w:t>
            </w:r>
            <w:r w:rsidR="007938AA">
              <w:rPr>
                <w:bCs/>
                <w:lang w:val="uk-UA" w:eastAsia="uk-UA"/>
              </w:rPr>
              <w:t>рамках запланованих заходів, визначених Програмою</w:t>
            </w:r>
            <w:r w:rsidRPr="00B1691B">
              <w:rPr>
                <w:bCs/>
                <w:lang w:val="uk-UA" w:eastAsia="uk-UA"/>
              </w:rPr>
              <w:t xml:space="preserve"> державного моніторингу у галузі охорони атмосферного повітря агломерації «Хмельницький» на 2022-2026 роки.</w:t>
            </w:r>
            <w:r>
              <w:rPr>
                <w:b/>
                <w:bCs/>
                <w:highlight w:val="yellow"/>
                <w:lang w:val="uk-UA" w:eastAsia="uk-UA"/>
              </w:rPr>
              <w:t xml:space="preserve"> </w:t>
            </w:r>
          </w:p>
        </w:tc>
      </w:tr>
      <w:tr w:rsidR="000F5DD8" w:rsidRPr="000F5DD8" w:rsidTr="00801B34">
        <w:trPr>
          <w:trHeight w:val="377"/>
        </w:trPr>
        <w:tc>
          <w:tcPr>
            <w:tcW w:w="458" w:type="dxa"/>
          </w:tcPr>
          <w:p w:rsidR="000F5DD8" w:rsidRPr="00CD6F9A" w:rsidRDefault="00CD6F9A" w:rsidP="00064667">
            <w:pPr>
              <w:jc w:val="center"/>
              <w:rPr>
                <w:lang w:val="uk-UA"/>
              </w:rPr>
            </w:pPr>
            <w:r w:rsidRPr="00CD6F9A">
              <w:rPr>
                <w:lang w:val="uk-UA"/>
              </w:rPr>
              <w:t>2.</w:t>
            </w:r>
          </w:p>
        </w:tc>
        <w:tc>
          <w:tcPr>
            <w:tcW w:w="6205" w:type="dxa"/>
          </w:tcPr>
          <w:p w:rsidR="000F5DD8" w:rsidRPr="000F5DD8" w:rsidRDefault="000F5DD8" w:rsidP="00E5795D">
            <w:pPr>
              <w:pStyle w:val="a6"/>
              <w:spacing w:after="200"/>
              <w:ind w:left="0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Розробити технічну документацію по встановленню зон санітарної охорони водозаборів, водоохоронних зон і прибережних захисних смуг водних об’єктів </w:t>
            </w:r>
          </w:p>
        </w:tc>
        <w:tc>
          <w:tcPr>
            <w:tcW w:w="1843" w:type="dxa"/>
          </w:tcPr>
          <w:p w:rsidR="000F5DD8" w:rsidRPr="00ED36FC" w:rsidRDefault="001E7F22" w:rsidP="00064667">
            <w:pPr>
              <w:jc w:val="center"/>
              <w:rPr>
                <w:highlight w:val="yellow"/>
                <w:lang w:val="uk-UA"/>
              </w:rPr>
            </w:pPr>
            <w:r w:rsidRPr="001E7F22">
              <w:rPr>
                <w:lang w:val="uk-UA"/>
              </w:rPr>
              <w:t>Враховано</w:t>
            </w:r>
            <w:r w:rsidR="00B116F2">
              <w:rPr>
                <w:lang w:val="uk-UA"/>
              </w:rPr>
              <w:t xml:space="preserve"> частково</w:t>
            </w:r>
          </w:p>
        </w:tc>
        <w:tc>
          <w:tcPr>
            <w:tcW w:w="7371" w:type="dxa"/>
          </w:tcPr>
          <w:p w:rsidR="001E7F22" w:rsidRDefault="001E7F22" w:rsidP="001E7F22">
            <w:pPr>
              <w:jc w:val="both"/>
              <w:rPr>
                <w:bCs/>
                <w:lang w:val="uk-UA" w:eastAsia="uk-UA"/>
              </w:rPr>
            </w:pPr>
            <w:r w:rsidRPr="001E7F22">
              <w:rPr>
                <w:bCs/>
                <w:lang w:val="uk-UA" w:eastAsia="uk-UA"/>
              </w:rPr>
              <w:t>МКП «Хмельницькводоканал» розроблено проекти зон санітарної охорони артезіанських свердловин Хмельницького родовища підземних прісних вод (проектн</w:t>
            </w:r>
            <w:r w:rsidR="007938AA">
              <w:rPr>
                <w:bCs/>
                <w:lang w:val="uk-UA" w:eastAsia="uk-UA"/>
              </w:rPr>
              <w:t>у</w:t>
            </w:r>
            <w:r w:rsidRPr="001E7F22">
              <w:rPr>
                <w:bCs/>
                <w:lang w:val="uk-UA" w:eastAsia="uk-UA"/>
              </w:rPr>
              <w:t xml:space="preserve"> документаці</w:t>
            </w:r>
            <w:r w:rsidR="007938AA">
              <w:rPr>
                <w:bCs/>
                <w:lang w:val="uk-UA" w:eastAsia="uk-UA"/>
              </w:rPr>
              <w:t>ю</w:t>
            </w:r>
            <w:r w:rsidRPr="001E7F22">
              <w:rPr>
                <w:bCs/>
                <w:lang w:val="uk-UA" w:eastAsia="uk-UA"/>
              </w:rPr>
              <w:t xml:space="preserve"> погоджен</w:t>
            </w:r>
            <w:r w:rsidR="007938AA">
              <w:rPr>
                <w:bCs/>
                <w:lang w:val="uk-UA" w:eastAsia="uk-UA"/>
              </w:rPr>
              <w:t>о</w:t>
            </w:r>
            <w:r w:rsidRPr="001E7F22">
              <w:rPr>
                <w:bCs/>
                <w:lang w:val="uk-UA" w:eastAsia="uk-UA"/>
              </w:rPr>
              <w:t xml:space="preserve"> у встановленому порядку)</w:t>
            </w:r>
            <w:r>
              <w:rPr>
                <w:bCs/>
                <w:lang w:val="uk-UA" w:eastAsia="uk-UA"/>
              </w:rPr>
              <w:t>.</w:t>
            </w:r>
          </w:p>
          <w:p w:rsidR="001E7F22" w:rsidRPr="001E7F22" w:rsidRDefault="001E7F22" w:rsidP="007938AA">
            <w:pPr>
              <w:jc w:val="both"/>
              <w:rPr>
                <w:bCs/>
                <w:highlight w:val="yellow"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Виготовлення проектів землеустрою щодо встановлення меж прибережних захисних смуг поверхневих водних об’єктів передбачено </w:t>
            </w:r>
            <w:r w:rsidR="00B1691B">
              <w:rPr>
                <w:bCs/>
                <w:lang w:val="uk-UA" w:eastAsia="uk-UA"/>
              </w:rPr>
              <w:t>у</w:t>
            </w:r>
            <w:r>
              <w:rPr>
                <w:bCs/>
                <w:lang w:val="uk-UA" w:eastAsia="uk-UA"/>
              </w:rPr>
              <w:t xml:space="preserve"> рамках запланованих заходів</w:t>
            </w:r>
            <w:r w:rsidR="00B90555">
              <w:rPr>
                <w:bCs/>
                <w:lang w:val="uk-UA" w:eastAsia="uk-UA"/>
              </w:rPr>
              <w:t>,</w:t>
            </w:r>
            <w:r>
              <w:rPr>
                <w:bCs/>
                <w:lang w:val="uk-UA" w:eastAsia="uk-UA"/>
              </w:rPr>
              <w:t xml:space="preserve"> </w:t>
            </w:r>
            <w:r w:rsidR="007938AA">
              <w:rPr>
                <w:bCs/>
                <w:lang w:val="uk-UA" w:eastAsia="uk-UA"/>
              </w:rPr>
              <w:t xml:space="preserve">визначених </w:t>
            </w:r>
            <w:r>
              <w:rPr>
                <w:bCs/>
                <w:lang w:val="uk-UA" w:eastAsia="uk-UA"/>
              </w:rPr>
              <w:t>Програм</w:t>
            </w:r>
            <w:r w:rsidR="007938AA">
              <w:rPr>
                <w:bCs/>
                <w:lang w:val="uk-UA" w:eastAsia="uk-UA"/>
              </w:rPr>
              <w:t>ою</w:t>
            </w:r>
            <w:r>
              <w:rPr>
                <w:bCs/>
                <w:lang w:val="uk-UA" w:eastAsia="uk-UA"/>
              </w:rPr>
              <w:t xml:space="preserve"> охорони довкілля Хмельницької міської територіал</w:t>
            </w:r>
            <w:r w:rsidR="00B116F2">
              <w:rPr>
                <w:bCs/>
                <w:lang w:val="uk-UA" w:eastAsia="uk-UA"/>
              </w:rPr>
              <w:t>ьної громади на 2021-2026 роки.</w:t>
            </w:r>
          </w:p>
        </w:tc>
      </w:tr>
      <w:tr w:rsidR="000F5DD8" w:rsidRPr="00507E0A" w:rsidTr="00801B34">
        <w:trPr>
          <w:trHeight w:val="377"/>
        </w:trPr>
        <w:tc>
          <w:tcPr>
            <w:tcW w:w="458" w:type="dxa"/>
          </w:tcPr>
          <w:p w:rsidR="000F5DD8" w:rsidRPr="00CD6F9A" w:rsidRDefault="00CD6F9A" w:rsidP="00064667">
            <w:pPr>
              <w:jc w:val="center"/>
              <w:rPr>
                <w:lang w:val="uk-UA"/>
              </w:rPr>
            </w:pPr>
            <w:r w:rsidRPr="00CD6F9A">
              <w:rPr>
                <w:lang w:val="uk-UA"/>
              </w:rPr>
              <w:t>3.</w:t>
            </w:r>
          </w:p>
        </w:tc>
        <w:tc>
          <w:tcPr>
            <w:tcW w:w="6205" w:type="dxa"/>
          </w:tcPr>
          <w:p w:rsidR="000F5DD8" w:rsidRDefault="000F5DD8" w:rsidP="00E5795D">
            <w:pPr>
              <w:pStyle w:val="a6"/>
              <w:spacing w:after="200"/>
              <w:ind w:left="0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При експлуатації полігонів ТПВ створити систему моніторингу та заходи екологічної безпеки на захист нормального стану повітря, ґрунту та підземних вод, а саме:</w:t>
            </w:r>
          </w:p>
          <w:p w:rsidR="000F5DD8" w:rsidRDefault="000F5DD8" w:rsidP="00D21A61">
            <w:pPr>
              <w:pStyle w:val="a6"/>
              <w:numPr>
                <w:ilvl w:val="0"/>
                <w:numId w:val="15"/>
              </w:numPr>
              <w:tabs>
                <w:tab w:val="left" w:pos="286"/>
              </w:tabs>
              <w:spacing w:after="200"/>
              <w:ind w:left="2" w:hanging="9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дослідження проб повітря за такими показниками: азот, діоксид вуглецю, ангідрид сірчаний, вуглецю оксид, сірководень, фенол, формальдегід;</w:t>
            </w:r>
          </w:p>
          <w:p w:rsidR="000F5DD8" w:rsidRDefault="000F5DD8" w:rsidP="00D21A61">
            <w:pPr>
              <w:pStyle w:val="a6"/>
              <w:numPr>
                <w:ilvl w:val="0"/>
                <w:numId w:val="15"/>
              </w:numPr>
              <w:tabs>
                <w:tab w:val="left" w:pos="286"/>
              </w:tabs>
              <w:spacing w:after="200"/>
              <w:ind w:left="2" w:hanging="9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дослідження </w:t>
            </w:r>
            <w:r w:rsidR="00D21A61">
              <w:rPr>
                <w:bCs/>
                <w:lang w:val="uk-UA" w:eastAsia="uk-UA"/>
              </w:rPr>
              <w:t>ґрунту</w:t>
            </w:r>
            <w:r>
              <w:rPr>
                <w:bCs/>
                <w:lang w:val="uk-UA" w:eastAsia="uk-UA"/>
              </w:rPr>
              <w:t xml:space="preserve"> на території полігона та у межах санітарно-захисної зони (на відстані 50, 100, 200 і 500 м) проводити не рідше ніж двічі на рік;</w:t>
            </w:r>
          </w:p>
          <w:p w:rsidR="000F5DD8" w:rsidRDefault="00D21A61" w:rsidP="007938AA">
            <w:pPr>
              <w:pStyle w:val="a6"/>
              <w:numPr>
                <w:ilvl w:val="0"/>
                <w:numId w:val="15"/>
              </w:numPr>
              <w:tabs>
                <w:tab w:val="left" w:pos="286"/>
              </w:tabs>
              <w:ind w:left="5" w:hanging="11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lastRenderedPageBreak/>
              <w:t>щоквартально проводити контроль за станом підземних вод через спостережні свердловини, кількість, розташування і глибина яких встановлюються згідно з проектом полігона</w:t>
            </w:r>
          </w:p>
        </w:tc>
        <w:tc>
          <w:tcPr>
            <w:tcW w:w="1843" w:type="dxa"/>
          </w:tcPr>
          <w:p w:rsidR="000F5DD8" w:rsidRPr="00ED36FC" w:rsidRDefault="00364DA0" w:rsidP="00064667">
            <w:pPr>
              <w:jc w:val="center"/>
              <w:rPr>
                <w:highlight w:val="yellow"/>
                <w:lang w:val="uk-UA"/>
              </w:rPr>
            </w:pPr>
            <w:r w:rsidRPr="00CE5B06">
              <w:rPr>
                <w:lang w:val="uk-UA"/>
              </w:rPr>
              <w:lastRenderedPageBreak/>
              <w:t>Враховано</w:t>
            </w:r>
          </w:p>
        </w:tc>
        <w:tc>
          <w:tcPr>
            <w:tcW w:w="7371" w:type="dxa"/>
          </w:tcPr>
          <w:p w:rsidR="00B90555" w:rsidRDefault="00364DA0" w:rsidP="00B90555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При експлуатації полі</w:t>
            </w:r>
            <w:r w:rsidR="00B90555">
              <w:rPr>
                <w:bCs/>
                <w:lang w:val="uk-UA" w:eastAsia="uk-UA"/>
              </w:rPr>
              <w:t>гону побутових відходів здійснює</w:t>
            </w:r>
            <w:r>
              <w:rPr>
                <w:bCs/>
                <w:lang w:val="uk-UA" w:eastAsia="uk-UA"/>
              </w:rPr>
              <w:t xml:space="preserve">ться </w:t>
            </w:r>
            <w:r w:rsidR="00B90555">
              <w:rPr>
                <w:bCs/>
                <w:lang w:val="uk-UA" w:eastAsia="uk-UA"/>
              </w:rPr>
              <w:t>моніторинг стану повітря, ґрунту та підземних вод, а саме:</w:t>
            </w:r>
          </w:p>
          <w:p w:rsidR="000F5DD8" w:rsidRPr="00364DA0" w:rsidRDefault="00B90555" w:rsidP="00B90555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</w:t>
            </w:r>
            <w:r w:rsidRPr="00364DA0">
              <w:rPr>
                <w:bCs/>
                <w:lang w:val="uk-UA" w:eastAsia="uk-UA"/>
              </w:rPr>
              <w:t xml:space="preserve"> </w:t>
            </w:r>
            <w:r w:rsidR="00364DA0" w:rsidRPr="00364DA0">
              <w:rPr>
                <w:bCs/>
                <w:lang w:val="uk-UA" w:eastAsia="uk-UA"/>
              </w:rPr>
              <w:t xml:space="preserve">проб повітря </w:t>
            </w:r>
            <w:r w:rsidR="00364DA0">
              <w:rPr>
                <w:bCs/>
                <w:lang w:val="uk-UA" w:eastAsia="uk-UA"/>
              </w:rPr>
              <w:t xml:space="preserve">за </w:t>
            </w:r>
            <w:r w:rsidR="00364DA0" w:rsidRPr="00364DA0">
              <w:rPr>
                <w:bCs/>
                <w:lang w:val="uk-UA" w:eastAsia="uk-UA"/>
              </w:rPr>
              <w:t>показниками: азот, діоксид вуглецю, ангідрид сірчаний, вуглецю оксид, сірководень, фенол, формальдегід</w:t>
            </w:r>
            <w:r w:rsidR="00364DA0">
              <w:rPr>
                <w:bCs/>
                <w:lang w:val="uk-UA" w:eastAsia="uk-UA"/>
              </w:rPr>
              <w:t>;</w:t>
            </w:r>
          </w:p>
          <w:p w:rsidR="00364DA0" w:rsidRDefault="00364DA0" w:rsidP="00364DA0">
            <w:pPr>
              <w:pStyle w:val="a6"/>
              <w:tabs>
                <w:tab w:val="left" w:pos="286"/>
                <w:tab w:val="left" w:pos="317"/>
              </w:tabs>
              <w:spacing w:after="200"/>
              <w:ind w:left="33" w:firstLine="22"/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- ґрунту двічі на рік у межах санітарно-захисної зони на відстані 50 м, 100 м;</w:t>
            </w:r>
          </w:p>
          <w:p w:rsidR="00364DA0" w:rsidRPr="00364DA0" w:rsidRDefault="00364DA0" w:rsidP="00B90555">
            <w:pPr>
              <w:pStyle w:val="a6"/>
              <w:tabs>
                <w:tab w:val="left" w:pos="286"/>
                <w:tab w:val="left" w:pos="317"/>
              </w:tabs>
              <w:spacing w:after="200"/>
              <w:ind w:left="33" w:firstLine="22"/>
              <w:jc w:val="both"/>
              <w:rPr>
                <w:b/>
                <w:bCs/>
                <w:highlight w:val="yellow"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- проб поверхневих вод та зворотних вод (фільтрат) двічі на рік (відповідно до ДСТУ </w:t>
            </w:r>
            <w:r>
              <w:rPr>
                <w:bCs/>
                <w:lang w:val="en-US" w:eastAsia="uk-UA"/>
              </w:rPr>
              <w:t>ISO</w:t>
            </w:r>
            <w:r>
              <w:rPr>
                <w:bCs/>
                <w:lang w:val="uk-UA" w:eastAsia="uk-UA"/>
              </w:rPr>
              <w:t xml:space="preserve"> 5667-6:2009 «Якість води. Відбирання проб»</w:t>
            </w:r>
            <w:r w:rsidR="00507E0A">
              <w:rPr>
                <w:bCs/>
                <w:lang w:val="uk-UA" w:eastAsia="uk-UA"/>
              </w:rPr>
              <w:t>)</w:t>
            </w:r>
            <w:r w:rsidR="00B116F2">
              <w:rPr>
                <w:bCs/>
                <w:lang w:val="uk-UA" w:eastAsia="uk-UA"/>
              </w:rPr>
              <w:t>.</w:t>
            </w:r>
          </w:p>
        </w:tc>
      </w:tr>
      <w:tr w:rsidR="00D21A61" w:rsidRPr="000F5DD8" w:rsidTr="00801B34">
        <w:trPr>
          <w:trHeight w:val="377"/>
        </w:trPr>
        <w:tc>
          <w:tcPr>
            <w:tcW w:w="458" w:type="dxa"/>
          </w:tcPr>
          <w:p w:rsidR="00D21A61" w:rsidRPr="00CD6F9A" w:rsidRDefault="00CD6F9A" w:rsidP="00064667">
            <w:pPr>
              <w:jc w:val="center"/>
              <w:rPr>
                <w:lang w:val="uk-UA"/>
              </w:rPr>
            </w:pPr>
            <w:r w:rsidRPr="00CD6F9A">
              <w:rPr>
                <w:lang w:val="uk-UA"/>
              </w:rPr>
              <w:t>4.</w:t>
            </w:r>
          </w:p>
        </w:tc>
        <w:tc>
          <w:tcPr>
            <w:tcW w:w="6205" w:type="dxa"/>
          </w:tcPr>
          <w:p w:rsidR="00D21A61" w:rsidRPr="00CD6F9A" w:rsidRDefault="00D21A61" w:rsidP="00E5795D">
            <w:pPr>
              <w:pStyle w:val="a6"/>
              <w:spacing w:after="200"/>
              <w:ind w:left="0"/>
              <w:jc w:val="both"/>
              <w:rPr>
                <w:bCs/>
                <w:lang w:val="uk-UA" w:eastAsia="uk-UA"/>
              </w:rPr>
            </w:pPr>
            <w:r w:rsidRPr="00CD6F9A">
              <w:rPr>
                <w:bCs/>
                <w:lang w:val="uk-UA" w:eastAsia="uk-UA"/>
              </w:rPr>
              <w:t xml:space="preserve">У </w:t>
            </w:r>
            <w:r w:rsidR="00CD02C7" w:rsidRPr="00CD6F9A">
              <w:rPr>
                <w:bCs/>
                <w:lang w:val="uk-UA" w:eastAsia="uk-UA"/>
              </w:rPr>
              <w:t>зв</w:t>
            </w:r>
            <w:r w:rsidR="00CD02C7">
              <w:rPr>
                <w:bCs/>
                <w:lang w:val="uk-UA" w:eastAsia="uk-UA"/>
              </w:rPr>
              <w:t>’</w:t>
            </w:r>
            <w:r w:rsidR="00CD02C7" w:rsidRPr="00CD6F9A">
              <w:rPr>
                <w:bCs/>
                <w:lang w:val="uk-UA" w:eastAsia="uk-UA"/>
              </w:rPr>
              <w:t>язку</w:t>
            </w:r>
            <w:r w:rsidRPr="00CD6F9A">
              <w:rPr>
                <w:bCs/>
                <w:lang w:val="uk-UA" w:eastAsia="uk-UA"/>
              </w:rPr>
              <w:t xml:space="preserve"> з значною кількістю побутових відходів та їх накопиченням на перспективу передбачити будівництво </w:t>
            </w:r>
            <w:proofErr w:type="spellStart"/>
            <w:r w:rsidRPr="00CD6F9A">
              <w:rPr>
                <w:bCs/>
                <w:lang w:val="uk-UA" w:eastAsia="uk-UA"/>
              </w:rPr>
              <w:t>сміттєпереробного</w:t>
            </w:r>
            <w:proofErr w:type="spellEnd"/>
            <w:r w:rsidRPr="00CD6F9A">
              <w:rPr>
                <w:bCs/>
                <w:lang w:val="uk-UA" w:eastAsia="uk-UA"/>
              </w:rPr>
              <w:t xml:space="preserve"> заводу</w:t>
            </w:r>
          </w:p>
        </w:tc>
        <w:tc>
          <w:tcPr>
            <w:tcW w:w="1843" w:type="dxa"/>
          </w:tcPr>
          <w:p w:rsidR="00D21A61" w:rsidRPr="00CE5B06" w:rsidRDefault="00BC3F2C" w:rsidP="00064667">
            <w:pPr>
              <w:jc w:val="center"/>
              <w:rPr>
                <w:lang w:val="uk-UA"/>
              </w:rPr>
            </w:pPr>
            <w:r w:rsidRPr="00CE5B06">
              <w:rPr>
                <w:lang w:val="uk-UA"/>
              </w:rPr>
              <w:t>В</w:t>
            </w:r>
            <w:r w:rsidR="00D21A61" w:rsidRPr="00CE5B06">
              <w:rPr>
                <w:lang w:val="uk-UA"/>
              </w:rPr>
              <w:t>раховано</w:t>
            </w:r>
          </w:p>
        </w:tc>
        <w:tc>
          <w:tcPr>
            <w:tcW w:w="7371" w:type="dxa"/>
          </w:tcPr>
          <w:p w:rsidR="00B50C98" w:rsidRDefault="00B50C98" w:rsidP="00B50C98">
            <w:pPr>
              <w:jc w:val="both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П</w:t>
            </w:r>
            <w:r w:rsidRPr="00305D6F">
              <w:rPr>
                <w:bCs/>
                <w:lang w:val="uk-UA" w:eastAsia="uk-UA"/>
              </w:rPr>
              <w:t>ро</w:t>
            </w:r>
            <w:r>
              <w:rPr>
                <w:bCs/>
                <w:lang w:val="uk-UA" w:eastAsia="uk-UA"/>
              </w:rPr>
              <w:t>ектом</w:t>
            </w:r>
            <w:r w:rsidRPr="00305D6F">
              <w:rPr>
                <w:bCs/>
                <w:lang w:val="uk-UA" w:eastAsia="uk-UA"/>
              </w:rPr>
              <w:t xml:space="preserve"> Програми </w:t>
            </w:r>
            <w:r>
              <w:rPr>
                <w:bCs/>
                <w:lang w:val="uk-UA" w:eastAsia="uk-UA"/>
              </w:rPr>
              <w:t xml:space="preserve">передбачено </w:t>
            </w:r>
            <w:r w:rsidRPr="00CE5B06">
              <w:rPr>
                <w:lang w:val="uk-UA"/>
              </w:rPr>
              <w:t>зах</w:t>
            </w:r>
            <w:r>
              <w:rPr>
                <w:lang w:val="uk-UA"/>
              </w:rPr>
              <w:t>оди</w:t>
            </w:r>
            <w:r w:rsidRPr="00CE5B0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щодо будівництва </w:t>
            </w:r>
            <w:proofErr w:type="spellStart"/>
            <w:r w:rsidRPr="00CD6F9A">
              <w:rPr>
                <w:bCs/>
                <w:lang w:val="uk-UA" w:eastAsia="uk-UA"/>
              </w:rPr>
              <w:t>сміттєпереробного</w:t>
            </w:r>
            <w:proofErr w:type="spellEnd"/>
            <w:r w:rsidRPr="00CD6F9A">
              <w:rPr>
                <w:bCs/>
                <w:lang w:val="uk-UA" w:eastAsia="uk-UA"/>
              </w:rPr>
              <w:t xml:space="preserve"> заводу</w:t>
            </w:r>
            <w:r>
              <w:rPr>
                <w:bCs/>
                <w:lang w:val="uk-UA" w:eastAsia="uk-UA"/>
              </w:rPr>
              <w:t>, а саме:</w:t>
            </w:r>
          </w:p>
          <w:p w:rsidR="00BC3F2C" w:rsidRPr="00CE5B06" w:rsidRDefault="00B50C98" w:rsidP="00B50C98">
            <w:pPr>
              <w:jc w:val="both"/>
              <w:rPr>
                <w:lang w:val="uk-UA"/>
              </w:rPr>
            </w:pPr>
            <w:r>
              <w:rPr>
                <w:bCs/>
                <w:lang w:val="uk-UA" w:eastAsia="uk-UA"/>
              </w:rPr>
              <w:t>- розділ</w:t>
            </w:r>
            <w:r w:rsidR="00BC3F2C" w:rsidRPr="00CE5B06">
              <w:rPr>
                <w:bCs/>
                <w:lang w:val="uk-UA" w:eastAsia="uk-UA"/>
              </w:rPr>
              <w:t xml:space="preserve"> 5.1. «</w:t>
            </w:r>
            <w:r w:rsidR="00BC3F2C" w:rsidRPr="00CE5B06">
              <w:rPr>
                <w:lang w:val="uk-UA"/>
              </w:rPr>
              <w:t xml:space="preserve">Охорона навколишнього природного середовища» </w:t>
            </w:r>
            <w:r>
              <w:rPr>
                <w:lang w:val="uk-UA"/>
              </w:rPr>
              <w:t>містить</w:t>
            </w:r>
            <w:r>
              <w:rPr>
                <w:bCs/>
                <w:lang w:val="uk-UA" w:eastAsia="uk-UA"/>
              </w:rPr>
              <w:t xml:space="preserve"> захід </w:t>
            </w:r>
            <w:r w:rsidR="00CD02C7">
              <w:rPr>
                <w:lang w:val="uk-UA"/>
              </w:rPr>
              <w:t>«</w:t>
            </w:r>
            <w:r w:rsidR="00BC3F2C" w:rsidRPr="00CE5B06">
              <w:rPr>
                <w:lang w:val="uk-UA"/>
              </w:rPr>
              <w:t xml:space="preserve">Будівництво малого модулю компостування для чистих органічних відходів та фаза </w:t>
            </w:r>
            <w:r w:rsidR="00BC3F2C" w:rsidRPr="00CE5B06">
              <w:t>I</w:t>
            </w:r>
            <w:r w:rsidR="00BC3F2C" w:rsidRPr="00CE5B06">
              <w:rPr>
                <w:lang w:val="uk-UA"/>
              </w:rPr>
              <w:t xml:space="preserve"> проектування та будівництва модулю з відновлення матеріалів (МКБ), II фаза проектування та будівництва модулю з відновлення матеріалів, підключення системи очищення стічних вод MRF з комунальною очисн</w:t>
            </w:r>
            <w:r w:rsidR="00CD02C7">
              <w:rPr>
                <w:lang w:val="uk-UA"/>
              </w:rPr>
              <w:t>ою станцією»</w:t>
            </w:r>
            <w:r>
              <w:rPr>
                <w:lang w:val="uk-UA"/>
              </w:rPr>
              <w:t>;</w:t>
            </w:r>
          </w:p>
          <w:p w:rsidR="00BC3F2C" w:rsidRPr="00CE5B06" w:rsidRDefault="00B50C98" w:rsidP="00650B8E">
            <w:pPr>
              <w:pStyle w:val="1"/>
              <w:spacing w:before="0"/>
              <w:jc w:val="both"/>
              <w:outlineLvl w:val="0"/>
              <w:rPr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 д</w:t>
            </w:r>
            <w:r w:rsidR="00BC3F2C" w:rsidRPr="00CE5B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одаток 4 «Перелік інвестиційних проектів, які планує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ться реалізовувати у 2023 році»</w:t>
            </w:r>
            <w:r w:rsidR="006E5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BC3F2C" w:rsidRPr="00CE5B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містить проект «Модернізація</w:t>
            </w:r>
            <w:r w:rsidR="00650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50B8E" w:rsidRPr="00650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і</w:t>
            </w:r>
            <w:r w:rsidR="00BC3F2C" w:rsidRPr="00650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нфра</w:t>
            </w:r>
            <w:proofErr w:type="spellEnd"/>
            <w:r w:rsidR="00650B8E" w:rsidRPr="00650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 w:rsidR="00BC3F2C" w:rsidRPr="00650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структури твердих побутових відходів у </w:t>
            </w:r>
            <w:r w:rsidR="00BC3F2C" w:rsidRPr="00650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br/>
              <w:t>м. Хмельницькому»</w:t>
            </w:r>
            <w:r w:rsidR="00CE5B06" w:rsidRPr="00650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</w:tc>
      </w:tr>
      <w:tr w:rsidR="000F5DD8" w:rsidRPr="00ED36FC" w:rsidTr="00801B34">
        <w:trPr>
          <w:trHeight w:val="377"/>
        </w:trPr>
        <w:tc>
          <w:tcPr>
            <w:tcW w:w="458" w:type="dxa"/>
          </w:tcPr>
          <w:p w:rsidR="000F5DD8" w:rsidRPr="00305D6F" w:rsidRDefault="00CD6F9A" w:rsidP="000F5DD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F5DD8" w:rsidRPr="00305D6F">
              <w:rPr>
                <w:lang w:val="uk-UA"/>
              </w:rPr>
              <w:t>.</w:t>
            </w:r>
          </w:p>
        </w:tc>
        <w:tc>
          <w:tcPr>
            <w:tcW w:w="6205" w:type="dxa"/>
          </w:tcPr>
          <w:p w:rsidR="003C6061" w:rsidRPr="00305D6F" w:rsidRDefault="000F5DD8" w:rsidP="003C6061">
            <w:pPr>
              <w:pStyle w:val="a6"/>
              <w:spacing w:after="200"/>
              <w:ind w:left="0"/>
              <w:jc w:val="both"/>
              <w:rPr>
                <w:lang w:val="uk-UA"/>
              </w:rPr>
            </w:pPr>
            <w:r w:rsidRPr="00305D6F">
              <w:rPr>
                <w:lang w:val="uk-UA"/>
              </w:rPr>
              <w:t xml:space="preserve">У Програмі </w:t>
            </w:r>
            <w:r w:rsidR="00833FC0" w:rsidRPr="00305D6F">
              <w:rPr>
                <w:lang w:val="uk-UA"/>
              </w:rPr>
              <w:t>та Звіті врахувати наявність</w:t>
            </w:r>
            <w:r w:rsidR="003C6061" w:rsidRPr="00305D6F">
              <w:rPr>
                <w:lang w:val="uk-UA"/>
              </w:rPr>
              <w:t xml:space="preserve"> наступних документів</w:t>
            </w:r>
            <w:r w:rsidR="00833FC0" w:rsidRPr="00305D6F">
              <w:rPr>
                <w:lang w:val="uk-UA"/>
              </w:rPr>
              <w:t>:</w:t>
            </w:r>
            <w:r w:rsidRPr="00305D6F">
              <w:rPr>
                <w:lang w:val="uk-UA"/>
              </w:rPr>
              <w:t xml:space="preserve"> </w:t>
            </w:r>
          </w:p>
          <w:p w:rsidR="003C6061" w:rsidRPr="00305D6F" w:rsidRDefault="003C6061" w:rsidP="003C6061">
            <w:pPr>
              <w:pStyle w:val="a6"/>
              <w:spacing w:after="200"/>
              <w:ind w:left="0"/>
              <w:jc w:val="both"/>
              <w:rPr>
                <w:lang w:val="uk-UA"/>
              </w:rPr>
            </w:pPr>
            <w:r w:rsidRPr="00305D6F">
              <w:rPr>
                <w:lang w:val="uk-UA"/>
              </w:rPr>
              <w:t xml:space="preserve">- </w:t>
            </w:r>
            <w:r w:rsidR="000F5DD8" w:rsidRPr="00305D6F">
              <w:rPr>
                <w:lang w:val="uk-UA"/>
              </w:rPr>
              <w:t>План заходів щодо виконання Концепції реалізації державної політики у сфері зміни клімату на період до 2030 року, затверджени</w:t>
            </w:r>
            <w:r w:rsidRPr="00305D6F">
              <w:rPr>
                <w:lang w:val="uk-UA"/>
              </w:rPr>
              <w:t>й</w:t>
            </w:r>
            <w:r w:rsidR="000F5DD8" w:rsidRPr="00305D6F">
              <w:rPr>
                <w:lang w:val="uk-UA"/>
              </w:rPr>
              <w:t xml:space="preserve"> розпорядженням Кабінету Міністрів України від 06.12.2017</w:t>
            </w:r>
            <w:r w:rsidR="00C33E3D">
              <w:rPr>
                <w:lang w:val="uk-UA"/>
              </w:rPr>
              <w:t xml:space="preserve"> року</w:t>
            </w:r>
            <w:r w:rsidR="000F5DD8" w:rsidRPr="00305D6F">
              <w:rPr>
                <w:lang w:val="uk-UA"/>
              </w:rPr>
              <w:t xml:space="preserve"> №932-р; </w:t>
            </w:r>
          </w:p>
          <w:p w:rsidR="003C6061" w:rsidRPr="00305D6F" w:rsidRDefault="003C6061" w:rsidP="003C6061">
            <w:pPr>
              <w:pStyle w:val="a6"/>
              <w:spacing w:after="200"/>
              <w:ind w:left="0"/>
              <w:jc w:val="both"/>
              <w:rPr>
                <w:lang w:val="uk-UA"/>
              </w:rPr>
            </w:pPr>
            <w:r w:rsidRPr="00305D6F">
              <w:rPr>
                <w:lang w:val="uk-UA"/>
              </w:rPr>
              <w:t xml:space="preserve">- </w:t>
            </w:r>
            <w:r w:rsidR="00833FC0" w:rsidRPr="00305D6F">
              <w:rPr>
                <w:lang w:val="uk-UA"/>
              </w:rPr>
              <w:t>рішення</w:t>
            </w:r>
            <w:r w:rsidR="000F5DD8" w:rsidRPr="00305D6F">
              <w:rPr>
                <w:lang w:val="uk-UA"/>
              </w:rPr>
              <w:t xml:space="preserve"> Координаційної ради з питань боротьби з деградацією земель та </w:t>
            </w:r>
            <w:proofErr w:type="spellStart"/>
            <w:r w:rsidR="000F5DD8" w:rsidRPr="00305D6F">
              <w:rPr>
                <w:lang w:val="uk-UA"/>
              </w:rPr>
              <w:t>опустелюванням</w:t>
            </w:r>
            <w:proofErr w:type="spellEnd"/>
            <w:r w:rsidR="000F5DD8" w:rsidRPr="00305D6F">
              <w:rPr>
                <w:lang w:val="uk-UA"/>
              </w:rPr>
              <w:t>, створеної згідно з постановою Кабінету Міністрів України від 18.01.2017</w:t>
            </w:r>
            <w:r w:rsidR="00C33E3D">
              <w:rPr>
                <w:lang w:val="uk-UA"/>
              </w:rPr>
              <w:t xml:space="preserve"> року</w:t>
            </w:r>
            <w:r w:rsidR="000F5DD8" w:rsidRPr="00305D6F">
              <w:rPr>
                <w:lang w:val="uk-UA"/>
              </w:rPr>
              <w:t xml:space="preserve"> №20, зокрема стосовно схвалення представлених НААН добровільних національних завдань щодо досягнення нейтрального рівня деградації земель за напрямом «Підтримання вмісту органічної речовини (гумусу) у ґрунтах», а також допоміжних заходів за напрямами «Відновлення зрошення і поліпшення еколого-меліоративного стану зрошуваних земель» та «Відновлення та стале використання торфовищ»; </w:t>
            </w:r>
          </w:p>
          <w:p w:rsidR="003C6061" w:rsidRPr="00305D6F" w:rsidRDefault="003C6061" w:rsidP="003C6061">
            <w:pPr>
              <w:pStyle w:val="a6"/>
              <w:spacing w:after="200"/>
              <w:ind w:left="0"/>
              <w:jc w:val="both"/>
              <w:rPr>
                <w:lang w:val="uk-UA"/>
              </w:rPr>
            </w:pPr>
            <w:r w:rsidRPr="00305D6F">
              <w:rPr>
                <w:lang w:val="uk-UA"/>
              </w:rPr>
              <w:t>- Стратегія</w:t>
            </w:r>
            <w:r w:rsidR="000F5DD8" w:rsidRPr="00305D6F">
              <w:rPr>
                <w:lang w:val="uk-UA"/>
              </w:rPr>
              <w:t xml:space="preserve"> зрошення та дренажу в Україні на період до 2030 року, затверджен</w:t>
            </w:r>
            <w:r w:rsidRPr="00305D6F">
              <w:rPr>
                <w:lang w:val="uk-UA"/>
              </w:rPr>
              <w:t>а</w:t>
            </w:r>
            <w:r w:rsidR="000F5DD8" w:rsidRPr="00305D6F">
              <w:rPr>
                <w:lang w:val="uk-UA"/>
              </w:rPr>
              <w:t xml:space="preserve"> розпорядженням Кабінету Міністрів України від 14.08.2019</w:t>
            </w:r>
            <w:r w:rsidR="00C33E3D">
              <w:rPr>
                <w:lang w:val="uk-UA"/>
              </w:rPr>
              <w:t xml:space="preserve"> року</w:t>
            </w:r>
            <w:r w:rsidR="000F5DD8" w:rsidRPr="00305D6F">
              <w:rPr>
                <w:lang w:val="uk-UA"/>
              </w:rPr>
              <w:t xml:space="preserve"> №688-р;</w:t>
            </w:r>
          </w:p>
          <w:p w:rsidR="003C6061" w:rsidRPr="00305D6F" w:rsidRDefault="003C6061" w:rsidP="003C6061">
            <w:pPr>
              <w:pStyle w:val="a6"/>
              <w:spacing w:after="200"/>
              <w:ind w:left="0"/>
              <w:jc w:val="both"/>
              <w:rPr>
                <w:lang w:val="uk-UA"/>
              </w:rPr>
            </w:pPr>
            <w:r w:rsidRPr="00305D6F">
              <w:rPr>
                <w:lang w:val="uk-UA"/>
              </w:rPr>
              <w:lastRenderedPageBreak/>
              <w:t>-</w:t>
            </w:r>
            <w:r w:rsidR="000F5DD8" w:rsidRPr="00305D6F">
              <w:rPr>
                <w:lang w:val="uk-UA"/>
              </w:rPr>
              <w:t xml:space="preserve"> План заходів з реалізації Стратегії зрошення та дренажу в Україні на п</w:t>
            </w:r>
            <w:r w:rsidRPr="00305D6F">
              <w:rPr>
                <w:lang w:val="uk-UA"/>
              </w:rPr>
              <w:t>еріод до 2030 року, затверджений</w:t>
            </w:r>
            <w:r w:rsidR="000F5DD8" w:rsidRPr="00305D6F">
              <w:rPr>
                <w:lang w:val="uk-UA"/>
              </w:rPr>
              <w:t xml:space="preserve"> розпорядженням Кабінету Міністрів України від 21.10.2020 </w:t>
            </w:r>
            <w:r w:rsidR="00C33E3D">
              <w:rPr>
                <w:lang w:val="uk-UA"/>
              </w:rPr>
              <w:t xml:space="preserve">року </w:t>
            </w:r>
            <w:r w:rsidR="000F5DD8" w:rsidRPr="00305D6F">
              <w:rPr>
                <w:lang w:val="uk-UA"/>
              </w:rPr>
              <w:t>№ 1567-р;</w:t>
            </w:r>
          </w:p>
          <w:p w:rsidR="00C33E3D" w:rsidRDefault="003C6061" w:rsidP="003C6061">
            <w:pPr>
              <w:pStyle w:val="a6"/>
              <w:spacing w:after="200"/>
              <w:ind w:left="0"/>
              <w:jc w:val="both"/>
              <w:rPr>
                <w:lang w:val="uk-UA"/>
              </w:rPr>
            </w:pPr>
            <w:r w:rsidRPr="00305D6F">
              <w:rPr>
                <w:lang w:val="uk-UA"/>
              </w:rPr>
              <w:t xml:space="preserve">- </w:t>
            </w:r>
            <w:r w:rsidR="000F5DD8" w:rsidRPr="00305D6F">
              <w:rPr>
                <w:lang w:val="uk-UA"/>
              </w:rPr>
              <w:t>Національн</w:t>
            </w:r>
            <w:r w:rsidRPr="00305D6F">
              <w:rPr>
                <w:lang w:val="uk-UA"/>
              </w:rPr>
              <w:t>а</w:t>
            </w:r>
            <w:r w:rsidR="000F5DD8" w:rsidRPr="00305D6F">
              <w:rPr>
                <w:lang w:val="uk-UA"/>
              </w:rPr>
              <w:t xml:space="preserve"> економічн</w:t>
            </w:r>
            <w:r w:rsidRPr="00305D6F">
              <w:rPr>
                <w:lang w:val="uk-UA"/>
              </w:rPr>
              <w:t>а</w:t>
            </w:r>
            <w:r w:rsidR="000F5DD8" w:rsidRPr="00305D6F">
              <w:rPr>
                <w:lang w:val="uk-UA"/>
              </w:rPr>
              <w:t xml:space="preserve"> стратегі</w:t>
            </w:r>
            <w:r w:rsidRPr="00305D6F">
              <w:rPr>
                <w:lang w:val="uk-UA"/>
              </w:rPr>
              <w:t>я</w:t>
            </w:r>
            <w:r w:rsidR="000F5DD8" w:rsidRPr="00305D6F">
              <w:rPr>
                <w:lang w:val="uk-UA"/>
              </w:rPr>
              <w:t>, затверджен</w:t>
            </w:r>
            <w:r w:rsidRPr="00305D6F">
              <w:rPr>
                <w:lang w:val="uk-UA"/>
              </w:rPr>
              <w:t>а</w:t>
            </w:r>
            <w:r w:rsidR="000F5DD8" w:rsidRPr="00305D6F">
              <w:rPr>
                <w:lang w:val="uk-UA"/>
              </w:rPr>
              <w:t xml:space="preserve"> постановою Кабінету Міністрів України від 03.03.2021</w:t>
            </w:r>
            <w:r w:rsidR="00C33E3D">
              <w:rPr>
                <w:lang w:val="uk-UA"/>
              </w:rPr>
              <w:t xml:space="preserve"> року</w:t>
            </w:r>
            <w:r w:rsidR="000F5DD8" w:rsidRPr="00305D6F">
              <w:rPr>
                <w:lang w:val="uk-UA"/>
              </w:rPr>
              <w:t xml:space="preserve"> №179; </w:t>
            </w:r>
          </w:p>
          <w:p w:rsidR="003C6061" w:rsidRPr="00305D6F" w:rsidRDefault="003C6061" w:rsidP="003C6061">
            <w:pPr>
              <w:pStyle w:val="a6"/>
              <w:spacing w:after="200"/>
              <w:ind w:left="0"/>
              <w:jc w:val="both"/>
              <w:rPr>
                <w:lang w:val="uk-UA"/>
              </w:rPr>
            </w:pPr>
            <w:r w:rsidRPr="00305D6F">
              <w:rPr>
                <w:lang w:val="uk-UA"/>
              </w:rPr>
              <w:t>- Державна стратегія управління лісами України до 2035 року та операційний план її реалізації у 2022-2024 роках, затверджені розпорядженням</w:t>
            </w:r>
            <w:r w:rsidR="000F5DD8" w:rsidRPr="00305D6F">
              <w:rPr>
                <w:lang w:val="uk-UA"/>
              </w:rPr>
              <w:t xml:space="preserve"> </w:t>
            </w:r>
            <w:r w:rsidRPr="00305D6F">
              <w:rPr>
                <w:lang w:val="uk-UA"/>
              </w:rPr>
              <w:t>Кабінету Міністрів України від 29.12.2021 року № 1777-р;</w:t>
            </w:r>
          </w:p>
          <w:p w:rsidR="000F5DD8" w:rsidRPr="00305D6F" w:rsidRDefault="003C6061" w:rsidP="00CD02C7">
            <w:pPr>
              <w:pStyle w:val="a6"/>
              <w:ind w:left="0"/>
              <w:jc w:val="both"/>
              <w:rPr>
                <w:bCs/>
                <w:lang w:val="uk-UA" w:eastAsia="uk-UA"/>
              </w:rPr>
            </w:pPr>
            <w:r w:rsidRPr="00305D6F">
              <w:rPr>
                <w:lang w:val="uk-UA"/>
              </w:rPr>
              <w:t xml:space="preserve">- </w:t>
            </w:r>
            <w:r w:rsidR="000F5DD8" w:rsidRPr="00305D6F">
              <w:rPr>
                <w:lang w:val="uk-UA"/>
              </w:rPr>
              <w:t>Ріо-Конвенці</w:t>
            </w:r>
            <w:r w:rsidRPr="00305D6F">
              <w:rPr>
                <w:lang w:val="uk-UA"/>
              </w:rPr>
              <w:t>ї</w:t>
            </w:r>
            <w:r w:rsidR="000F5DD8" w:rsidRPr="00305D6F">
              <w:rPr>
                <w:lang w:val="uk-UA"/>
              </w:rPr>
              <w:t xml:space="preserve"> та інш</w:t>
            </w:r>
            <w:r w:rsidRPr="00305D6F">
              <w:rPr>
                <w:lang w:val="uk-UA"/>
              </w:rPr>
              <w:t>і</w:t>
            </w:r>
            <w:r w:rsidR="000F5DD8" w:rsidRPr="00305D6F">
              <w:rPr>
                <w:lang w:val="uk-UA"/>
              </w:rPr>
              <w:t xml:space="preserve"> міжнародн</w:t>
            </w:r>
            <w:r w:rsidRPr="00305D6F">
              <w:rPr>
                <w:lang w:val="uk-UA"/>
              </w:rPr>
              <w:t>і</w:t>
            </w:r>
            <w:r w:rsidR="000F5DD8" w:rsidRPr="00305D6F">
              <w:rPr>
                <w:lang w:val="uk-UA"/>
              </w:rPr>
              <w:t xml:space="preserve"> угод</w:t>
            </w:r>
            <w:r w:rsidRPr="00305D6F">
              <w:rPr>
                <w:lang w:val="uk-UA"/>
              </w:rPr>
              <w:t>и</w:t>
            </w:r>
            <w:r w:rsidR="000F5DD8" w:rsidRPr="00305D6F">
              <w:rPr>
                <w:lang w:val="uk-UA"/>
              </w:rPr>
              <w:t xml:space="preserve"> природоохоронного спрямування.</w:t>
            </w:r>
          </w:p>
        </w:tc>
        <w:tc>
          <w:tcPr>
            <w:tcW w:w="1843" w:type="dxa"/>
          </w:tcPr>
          <w:p w:rsidR="000F5DD8" w:rsidRPr="00ED36FC" w:rsidRDefault="000F5DD8" w:rsidP="006E2023">
            <w:pPr>
              <w:jc w:val="center"/>
              <w:rPr>
                <w:highlight w:val="yellow"/>
                <w:lang w:val="uk-UA"/>
              </w:rPr>
            </w:pPr>
            <w:r w:rsidRPr="006E2023">
              <w:rPr>
                <w:lang w:val="uk-UA"/>
              </w:rPr>
              <w:lastRenderedPageBreak/>
              <w:t xml:space="preserve">Враховано </w:t>
            </w:r>
          </w:p>
        </w:tc>
        <w:tc>
          <w:tcPr>
            <w:tcW w:w="7371" w:type="dxa"/>
          </w:tcPr>
          <w:p w:rsidR="000F5DD8" w:rsidRPr="00305D6F" w:rsidRDefault="000F5DD8" w:rsidP="000F5DD8">
            <w:pPr>
              <w:jc w:val="both"/>
              <w:rPr>
                <w:bCs/>
                <w:lang w:val="uk-UA" w:eastAsia="uk-UA"/>
              </w:rPr>
            </w:pPr>
            <w:r w:rsidRPr="00305D6F">
              <w:rPr>
                <w:bCs/>
                <w:lang w:val="uk-UA" w:eastAsia="uk-UA"/>
              </w:rPr>
              <w:t>При формуванні про</w:t>
            </w:r>
            <w:r w:rsidR="00CD02C7">
              <w:rPr>
                <w:bCs/>
                <w:lang w:val="uk-UA" w:eastAsia="uk-UA"/>
              </w:rPr>
              <w:t>е</w:t>
            </w:r>
            <w:r w:rsidRPr="00305D6F">
              <w:rPr>
                <w:bCs/>
                <w:lang w:val="uk-UA" w:eastAsia="uk-UA"/>
              </w:rPr>
              <w:t>кту Програми враховано основні засади екологічної політики, визначені діючими нормативними документами.</w:t>
            </w:r>
          </w:p>
          <w:p w:rsidR="000F5DD8" w:rsidRPr="00ED36FC" w:rsidRDefault="000F5DD8" w:rsidP="006E2023">
            <w:pPr>
              <w:jc w:val="both"/>
              <w:rPr>
                <w:b/>
                <w:bCs/>
                <w:highlight w:val="yellow"/>
                <w:lang w:val="uk-UA" w:eastAsia="uk-UA"/>
              </w:rPr>
            </w:pPr>
          </w:p>
        </w:tc>
      </w:tr>
      <w:tr w:rsidR="006D45B8" w:rsidRPr="003D4A5D" w:rsidTr="00801B34">
        <w:trPr>
          <w:trHeight w:val="377"/>
        </w:trPr>
        <w:tc>
          <w:tcPr>
            <w:tcW w:w="458" w:type="dxa"/>
          </w:tcPr>
          <w:p w:rsidR="006D45B8" w:rsidRPr="00CD6F9A" w:rsidRDefault="00CD6F9A" w:rsidP="006D45B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205" w:type="dxa"/>
          </w:tcPr>
          <w:p w:rsidR="006D45B8" w:rsidRDefault="006D45B8" w:rsidP="006D45B8">
            <w:pPr>
              <w:pStyle w:val="a6"/>
              <w:spacing w:after="200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Допов</w:t>
            </w:r>
            <w:r w:rsidR="007C2241">
              <w:rPr>
                <w:lang w:val="uk-UA"/>
              </w:rPr>
              <w:t>нити завданнями і заходами щодо</w:t>
            </w:r>
            <w:r>
              <w:rPr>
                <w:lang w:val="uk-UA"/>
              </w:rPr>
              <w:t>:</w:t>
            </w:r>
          </w:p>
          <w:p w:rsidR="006D45B8" w:rsidRPr="006D45B8" w:rsidRDefault="006D45B8" w:rsidP="00A9452C">
            <w:pPr>
              <w:pStyle w:val="a6"/>
              <w:numPr>
                <w:ilvl w:val="0"/>
                <w:numId w:val="16"/>
              </w:numPr>
              <w:tabs>
                <w:tab w:val="left" w:pos="286"/>
              </w:tabs>
              <w:spacing w:after="200"/>
              <w:ind w:left="2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6D45B8">
              <w:rPr>
                <w:lang w:val="uk-UA"/>
              </w:rPr>
              <w:t xml:space="preserve">створення нових територій та об’єктів природно-заповідного фонду та формування </w:t>
            </w:r>
            <w:proofErr w:type="spellStart"/>
            <w:r w:rsidRPr="006D45B8">
              <w:rPr>
                <w:lang w:val="uk-UA"/>
              </w:rPr>
              <w:t>екомережі</w:t>
            </w:r>
            <w:proofErr w:type="spellEnd"/>
            <w:r w:rsidRPr="006D45B8">
              <w:rPr>
                <w:lang w:val="uk-UA"/>
              </w:rPr>
              <w:t xml:space="preserve"> (з урахуванням Схеми екологічної мережі міста Хмельницького, затвердженої рішенням тридцять четвертої сесії Хмельницької міської ради від 09.10.2019 року №37); </w:t>
            </w:r>
          </w:p>
          <w:p w:rsidR="006D45B8" w:rsidRDefault="006D45B8" w:rsidP="00A9452C">
            <w:pPr>
              <w:pStyle w:val="a6"/>
              <w:numPr>
                <w:ilvl w:val="0"/>
                <w:numId w:val="16"/>
              </w:numPr>
              <w:tabs>
                <w:tab w:val="left" w:pos="144"/>
              </w:tabs>
              <w:spacing w:after="200"/>
              <w:ind w:left="2" w:hanging="9"/>
              <w:jc w:val="both"/>
            </w:pPr>
            <w:proofErr w:type="spellStart"/>
            <w:r>
              <w:t>відтворення</w:t>
            </w:r>
            <w:proofErr w:type="spellEnd"/>
            <w:r>
              <w:t xml:space="preserve"> </w:t>
            </w:r>
            <w:proofErr w:type="spellStart"/>
            <w:r>
              <w:t>лісів</w:t>
            </w:r>
            <w:proofErr w:type="spellEnd"/>
            <w:r>
              <w:t xml:space="preserve">,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нових</w:t>
            </w:r>
            <w:proofErr w:type="spellEnd"/>
            <w:r>
              <w:t xml:space="preserve"> та </w:t>
            </w:r>
            <w:proofErr w:type="spellStart"/>
            <w:r>
              <w:t>реконструкції</w:t>
            </w:r>
            <w:proofErr w:type="spellEnd"/>
            <w:r>
              <w:t xml:space="preserve"> </w:t>
            </w:r>
            <w:proofErr w:type="spellStart"/>
            <w:r>
              <w:t>існуючих</w:t>
            </w:r>
            <w:proofErr w:type="spellEnd"/>
            <w:r>
              <w:t xml:space="preserve"> </w:t>
            </w:r>
            <w:proofErr w:type="spellStart"/>
            <w:r>
              <w:t>полезахисних</w:t>
            </w:r>
            <w:proofErr w:type="spellEnd"/>
            <w:r>
              <w:t xml:space="preserve"> </w:t>
            </w:r>
            <w:proofErr w:type="spellStart"/>
            <w:r>
              <w:t>лісових</w:t>
            </w:r>
            <w:proofErr w:type="spellEnd"/>
            <w:r>
              <w:t xml:space="preserve"> </w:t>
            </w:r>
            <w:proofErr w:type="spellStart"/>
            <w:r>
              <w:t>смуг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захисних</w:t>
            </w:r>
            <w:proofErr w:type="spellEnd"/>
            <w:r>
              <w:t xml:space="preserve"> </w:t>
            </w:r>
            <w:proofErr w:type="spellStart"/>
            <w:r>
              <w:t>насаджень</w:t>
            </w:r>
            <w:proofErr w:type="spellEnd"/>
            <w:r>
              <w:t xml:space="preserve">; </w:t>
            </w:r>
          </w:p>
          <w:p w:rsidR="006D45B8" w:rsidRPr="00305D6F" w:rsidRDefault="00392C99" w:rsidP="00A9452C">
            <w:pPr>
              <w:pStyle w:val="a6"/>
              <w:tabs>
                <w:tab w:val="left" w:pos="144"/>
              </w:tabs>
              <w:spacing w:after="200"/>
              <w:ind w:left="2" w:hanging="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 w:rsidR="006D45B8">
              <w:t>відновлення</w:t>
            </w:r>
            <w:proofErr w:type="spellEnd"/>
            <w:r w:rsidR="006D45B8">
              <w:t xml:space="preserve"> </w:t>
            </w:r>
            <w:proofErr w:type="spellStart"/>
            <w:r w:rsidR="006D45B8">
              <w:t>лучних</w:t>
            </w:r>
            <w:proofErr w:type="spellEnd"/>
            <w:r w:rsidR="006D45B8">
              <w:t>, водно-</w:t>
            </w:r>
            <w:proofErr w:type="spellStart"/>
            <w:r w:rsidR="006D45B8">
              <w:t>болотних</w:t>
            </w:r>
            <w:proofErr w:type="spellEnd"/>
            <w:r w:rsidR="006D45B8">
              <w:t xml:space="preserve"> та </w:t>
            </w:r>
            <w:proofErr w:type="spellStart"/>
            <w:r w:rsidR="006D45B8">
              <w:t>інших</w:t>
            </w:r>
            <w:proofErr w:type="spellEnd"/>
            <w:r w:rsidR="006D45B8">
              <w:t xml:space="preserve"> </w:t>
            </w:r>
            <w:proofErr w:type="spellStart"/>
            <w:r w:rsidR="006D45B8">
              <w:t>антропогенно</w:t>
            </w:r>
            <w:proofErr w:type="spellEnd"/>
            <w:r w:rsidR="006D45B8">
              <w:t xml:space="preserve"> </w:t>
            </w:r>
            <w:proofErr w:type="spellStart"/>
            <w:r w:rsidR="006D45B8">
              <w:t>змінених</w:t>
            </w:r>
            <w:proofErr w:type="spellEnd"/>
            <w:r w:rsidR="006D45B8">
              <w:t xml:space="preserve"> </w:t>
            </w:r>
            <w:proofErr w:type="spellStart"/>
            <w:r w:rsidR="006D45B8">
              <w:t>екосистем</w:t>
            </w:r>
            <w:proofErr w:type="spellEnd"/>
          </w:p>
        </w:tc>
        <w:tc>
          <w:tcPr>
            <w:tcW w:w="1843" w:type="dxa"/>
          </w:tcPr>
          <w:p w:rsidR="006D45B8" w:rsidRPr="00135502" w:rsidRDefault="009666DA" w:rsidP="006D45B8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</w:t>
            </w:r>
            <w:r w:rsidR="006D45B8" w:rsidRPr="00135502">
              <w:rPr>
                <w:color w:val="000000" w:themeColor="text1"/>
                <w:lang w:val="uk-UA"/>
              </w:rPr>
              <w:t xml:space="preserve">раховано </w:t>
            </w:r>
            <w:r>
              <w:rPr>
                <w:color w:val="000000" w:themeColor="text1"/>
                <w:lang w:val="uk-UA"/>
              </w:rPr>
              <w:t>частково</w:t>
            </w:r>
          </w:p>
          <w:p w:rsidR="006D45B8" w:rsidRPr="00135502" w:rsidRDefault="006D45B8" w:rsidP="006D45B8">
            <w:pPr>
              <w:jc w:val="center"/>
              <w:rPr>
                <w:color w:val="000000" w:themeColor="text1"/>
                <w:lang w:val="uk-UA"/>
              </w:rPr>
            </w:pPr>
          </w:p>
          <w:p w:rsidR="006D45B8" w:rsidRPr="00135502" w:rsidRDefault="006D45B8" w:rsidP="006D45B8">
            <w:pPr>
              <w:jc w:val="center"/>
              <w:rPr>
                <w:color w:val="000000" w:themeColor="text1"/>
                <w:lang w:val="uk-UA"/>
              </w:rPr>
            </w:pPr>
          </w:p>
          <w:p w:rsidR="006D45B8" w:rsidRPr="00135502" w:rsidRDefault="006D45B8" w:rsidP="006D45B8">
            <w:pPr>
              <w:jc w:val="center"/>
              <w:rPr>
                <w:color w:val="000000" w:themeColor="text1"/>
                <w:lang w:val="uk-UA"/>
              </w:rPr>
            </w:pPr>
          </w:p>
          <w:p w:rsidR="006D45B8" w:rsidRPr="00135502" w:rsidRDefault="006D45B8" w:rsidP="006D45B8">
            <w:pPr>
              <w:jc w:val="center"/>
              <w:rPr>
                <w:color w:val="000000" w:themeColor="text1"/>
                <w:lang w:val="uk-UA"/>
              </w:rPr>
            </w:pPr>
          </w:p>
          <w:p w:rsidR="006D45B8" w:rsidRPr="00135502" w:rsidRDefault="006D45B8" w:rsidP="006D45B8">
            <w:pPr>
              <w:jc w:val="center"/>
              <w:rPr>
                <w:color w:val="000000" w:themeColor="text1"/>
                <w:lang w:val="uk-UA"/>
              </w:rPr>
            </w:pPr>
          </w:p>
          <w:p w:rsidR="006D45B8" w:rsidRPr="00135502" w:rsidRDefault="006D45B8" w:rsidP="006D45B8">
            <w:pPr>
              <w:jc w:val="center"/>
              <w:rPr>
                <w:color w:val="000000" w:themeColor="text1"/>
                <w:lang w:val="uk-UA"/>
              </w:rPr>
            </w:pPr>
          </w:p>
          <w:p w:rsidR="006D45B8" w:rsidRPr="00135502" w:rsidRDefault="00F6285A" w:rsidP="00A9452C">
            <w:pPr>
              <w:jc w:val="center"/>
            </w:pPr>
            <w:r>
              <w:rPr>
                <w:color w:val="000000" w:themeColor="text1"/>
                <w:lang w:val="uk-UA"/>
              </w:rPr>
              <w:t>Не</w:t>
            </w:r>
            <w:r w:rsidR="006D45B8" w:rsidRPr="00135502">
              <w:rPr>
                <w:color w:val="000000" w:themeColor="text1"/>
                <w:lang w:val="uk-UA"/>
              </w:rPr>
              <w:t xml:space="preserve"> враховано</w:t>
            </w:r>
          </w:p>
          <w:p w:rsidR="006D45B8" w:rsidRPr="00135502" w:rsidRDefault="006D45B8" w:rsidP="006D45B8">
            <w:pPr>
              <w:jc w:val="center"/>
              <w:rPr>
                <w:highlight w:val="yellow"/>
              </w:rPr>
            </w:pPr>
          </w:p>
          <w:p w:rsidR="006D45B8" w:rsidRPr="00135502" w:rsidRDefault="006D45B8" w:rsidP="006D45B8">
            <w:pPr>
              <w:jc w:val="center"/>
              <w:rPr>
                <w:highlight w:val="yellow"/>
              </w:rPr>
            </w:pPr>
          </w:p>
          <w:p w:rsidR="006D45B8" w:rsidRPr="000F42AF" w:rsidRDefault="00F0055E" w:rsidP="006D45B8">
            <w:pPr>
              <w:jc w:val="center"/>
              <w:rPr>
                <w:highlight w:val="yellow"/>
              </w:rPr>
            </w:pPr>
            <w:r>
              <w:rPr>
                <w:lang w:val="uk-UA"/>
              </w:rPr>
              <w:t>Не</w:t>
            </w:r>
            <w:r w:rsidR="006D45B8">
              <w:rPr>
                <w:lang w:val="uk-UA"/>
              </w:rPr>
              <w:t xml:space="preserve"> враховано</w:t>
            </w:r>
          </w:p>
        </w:tc>
        <w:tc>
          <w:tcPr>
            <w:tcW w:w="7371" w:type="dxa"/>
          </w:tcPr>
          <w:p w:rsidR="006D45B8" w:rsidRDefault="00E333FD" w:rsidP="006D45B8">
            <w:pPr>
              <w:pStyle w:val="xfmc1"/>
              <w:shd w:val="clear" w:color="auto" w:fill="FFFFFF"/>
              <w:spacing w:before="0" w:beforeAutospacing="0" w:after="0" w:afterAutospacing="0"/>
              <w:jc w:val="both"/>
            </w:pPr>
            <w:r>
              <w:t>С</w:t>
            </w:r>
            <w:r w:rsidRPr="006D45B8">
              <w:t xml:space="preserve">творення нових територій та об’єктів природно-заповідного фонду та формування </w:t>
            </w:r>
            <w:proofErr w:type="spellStart"/>
            <w:r w:rsidRPr="006D45B8">
              <w:t>екомережі</w:t>
            </w:r>
            <w:proofErr w:type="spellEnd"/>
            <w:r w:rsidRPr="006D45B8">
              <w:t xml:space="preserve"> </w:t>
            </w:r>
            <w:r>
              <w:rPr>
                <w:bCs/>
              </w:rPr>
              <w:t>передбачено у рамках запланованих заходів, визначених Програмою охорони довкілля Хмельницької міської територіальної громади на 2021-2026 роки.</w:t>
            </w:r>
          </w:p>
          <w:p w:rsidR="002B365F" w:rsidRDefault="002B365F" w:rsidP="006D45B8">
            <w:pPr>
              <w:pStyle w:val="xfmc1"/>
              <w:shd w:val="clear" w:color="auto" w:fill="FFFFFF"/>
              <w:spacing w:before="0" w:beforeAutospacing="0" w:after="0" w:afterAutospacing="0"/>
              <w:jc w:val="both"/>
            </w:pPr>
          </w:p>
          <w:p w:rsidR="001E55C0" w:rsidRDefault="001E55C0" w:rsidP="006D45B8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95A2E" w:rsidRDefault="00F95A2E" w:rsidP="006D45B8">
            <w:pPr>
              <w:jc w:val="both"/>
              <w:rPr>
                <w:shd w:val="clear" w:color="auto" w:fill="FFFFFF"/>
                <w:lang w:val="uk-UA"/>
              </w:rPr>
            </w:pPr>
          </w:p>
          <w:p w:rsidR="00F6285A" w:rsidRDefault="00F6285A" w:rsidP="006D45B8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Відповідно до діючого законодавства </w:t>
            </w:r>
            <w:r w:rsidR="006D45B8" w:rsidRPr="00FB4FED">
              <w:rPr>
                <w:shd w:val="clear" w:color="auto" w:fill="FFFFFF"/>
                <w:lang w:val="uk-UA"/>
              </w:rPr>
              <w:t>відтворення лісів з</w:t>
            </w:r>
            <w:r>
              <w:rPr>
                <w:shd w:val="clear" w:color="auto" w:fill="FFFFFF"/>
                <w:lang w:val="uk-UA"/>
              </w:rPr>
              <w:t>дійснюється</w:t>
            </w:r>
            <w:r w:rsidR="006D45B8" w:rsidRPr="00FB4FED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 xml:space="preserve">постійними </w:t>
            </w:r>
            <w:r w:rsidR="00392C99" w:rsidRPr="00FB4FED">
              <w:rPr>
                <w:shd w:val="clear" w:color="auto" w:fill="FFFFFF"/>
                <w:lang w:val="uk-UA"/>
              </w:rPr>
              <w:t>л</w:t>
            </w:r>
            <w:r w:rsidR="006D45B8" w:rsidRPr="00FB4FED">
              <w:rPr>
                <w:shd w:val="clear" w:color="auto" w:fill="FFFFFF"/>
                <w:lang w:val="uk-UA"/>
              </w:rPr>
              <w:t>ісо</w:t>
            </w:r>
            <w:r>
              <w:rPr>
                <w:shd w:val="clear" w:color="auto" w:fill="FFFFFF"/>
                <w:lang w:val="uk-UA"/>
              </w:rPr>
              <w:t>користувача</w:t>
            </w:r>
            <w:r w:rsidR="002433D0">
              <w:rPr>
                <w:shd w:val="clear" w:color="auto" w:fill="FFFFFF"/>
                <w:lang w:val="uk-UA"/>
              </w:rPr>
              <w:t>ми і власниками лісів. У комуна</w:t>
            </w:r>
            <w:r>
              <w:rPr>
                <w:shd w:val="clear" w:color="auto" w:fill="FFFFFF"/>
                <w:lang w:val="uk-UA"/>
              </w:rPr>
              <w:t>льній власності громади ліси відсутні.</w:t>
            </w:r>
          </w:p>
          <w:p w:rsidR="00FB4FED" w:rsidRPr="000F42AF" w:rsidRDefault="001E55C0" w:rsidP="00F95A2E">
            <w:pPr>
              <w:pStyle w:val="xfmc1"/>
              <w:shd w:val="clear" w:color="auto" w:fill="FFFFFF"/>
              <w:spacing w:before="0" w:beforeAutospacing="0" w:after="0" w:afterAutospacing="0"/>
              <w:jc w:val="both"/>
              <w:rPr>
                <w:highlight w:val="yellow"/>
              </w:rPr>
            </w:pPr>
            <w:r>
              <w:rPr>
                <w:color w:val="000000"/>
              </w:rPr>
              <w:t>Здійснюються заходи у відповідності до норм Земельного кодексу  України щодо формування земельних ділянок</w:t>
            </w:r>
            <w:r w:rsidR="009666D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на яких розташовані зазначені об’єкти.</w:t>
            </w:r>
          </w:p>
        </w:tc>
      </w:tr>
      <w:tr w:rsidR="006D45B8" w:rsidRPr="00801B34" w:rsidTr="00E8353B">
        <w:trPr>
          <w:trHeight w:val="596"/>
        </w:trPr>
        <w:tc>
          <w:tcPr>
            <w:tcW w:w="458" w:type="dxa"/>
          </w:tcPr>
          <w:p w:rsidR="006D45B8" w:rsidRPr="00ED36FC" w:rsidRDefault="006D45B8" w:rsidP="006D45B8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419" w:type="dxa"/>
            <w:gridSpan w:val="3"/>
            <w:shd w:val="clear" w:color="auto" w:fill="auto"/>
          </w:tcPr>
          <w:p w:rsidR="0050760D" w:rsidRDefault="006D45B8" w:rsidP="0050760D">
            <w:pPr>
              <w:jc w:val="center"/>
              <w:rPr>
                <w:b/>
                <w:lang w:val="uk-UA"/>
              </w:rPr>
            </w:pPr>
            <w:r w:rsidRPr="00CD6F9A">
              <w:rPr>
                <w:b/>
                <w:lang w:val="uk-UA"/>
              </w:rPr>
              <w:t xml:space="preserve">Звіт про стратегічну екологічну оцінку </w:t>
            </w:r>
            <w:proofErr w:type="spellStart"/>
            <w:r w:rsidRPr="00CD6F9A">
              <w:rPr>
                <w:b/>
                <w:lang w:val="uk-UA"/>
              </w:rPr>
              <w:t>проєкту</w:t>
            </w:r>
            <w:proofErr w:type="spellEnd"/>
            <w:r w:rsidRPr="00CD6F9A">
              <w:rPr>
                <w:b/>
                <w:lang w:val="uk-UA"/>
              </w:rPr>
              <w:t xml:space="preserve"> Програми економічного і соціального розвитку</w:t>
            </w:r>
          </w:p>
          <w:p w:rsidR="006D45B8" w:rsidRPr="00ED36FC" w:rsidRDefault="006D45B8" w:rsidP="0050760D">
            <w:pPr>
              <w:jc w:val="center"/>
              <w:rPr>
                <w:b/>
                <w:highlight w:val="yellow"/>
                <w:lang w:val="uk-UA"/>
              </w:rPr>
            </w:pPr>
            <w:r w:rsidRPr="00CD6F9A">
              <w:rPr>
                <w:b/>
                <w:lang w:val="uk-UA"/>
              </w:rPr>
              <w:t>Хмельницької міської територіальної громади на 202</w:t>
            </w:r>
            <w:r w:rsidR="00CD6F9A" w:rsidRPr="00CD6F9A">
              <w:rPr>
                <w:b/>
                <w:lang w:val="uk-UA"/>
              </w:rPr>
              <w:t>3</w:t>
            </w:r>
            <w:r w:rsidRPr="00CD6F9A">
              <w:rPr>
                <w:b/>
                <w:lang w:val="uk-UA"/>
              </w:rPr>
              <w:t xml:space="preserve"> рік</w:t>
            </w:r>
          </w:p>
        </w:tc>
      </w:tr>
      <w:tr w:rsidR="00CD6F9A" w:rsidRPr="00CD6F9A" w:rsidTr="00801B34">
        <w:tc>
          <w:tcPr>
            <w:tcW w:w="458" w:type="dxa"/>
          </w:tcPr>
          <w:p w:rsidR="00CD6F9A" w:rsidRPr="00ED36FC" w:rsidRDefault="00801B34" w:rsidP="00CD6F9A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en-US"/>
              </w:rPr>
              <w:t>1</w:t>
            </w:r>
            <w:r w:rsidR="00CD6F9A" w:rsidRPr="00CD6F9A">
              <w:rPr>
                <w:lang w:val="uk-UA"/>
              </w:rPr>
              <w:t>.</w:t>
            </w:r>
          </w:p>
        </w:tc>
        <w:tc>
          <w:tcPr>
            <w:tcW w:w="6205" w:type="dxa"/>
          </w:tcPr>
          <w:p w:rsidR="00CD6F9A" w:rsidRPr="005051CE" w:rsidRDefault="00CD6F9A" w:rsidP="00CD6F9A">
            <w:pPr>
              <w:tabs>
                <w:tab w:val="left" w:pos="993"/>
              </w:tabs>
              <w:jc w:val="both"/>
              <w:rPr>
                <w:color w:val="000000" w:themeColor="text1"/>
                <w:lang w:val="uk-UA"/>
              </w:rPr>
            </w:pPr>
            <w:r w:rsidRPr="00CD6F9A">
              <w:rPr>
                <w:lang w:val="uk-UA"/>
              </w:rPr>
              <w:t xml:space="preserve">Розділ 9 «Заходи, передбачені для здійснення моніторингу наслідків виконання документа державного планування, у </w:t>
            </w:r>
            <w:r>
              <w:rPr>
                <w:lang w:val="uk-UA"/>
              </w:rPr>
              <w:t xml:space="preserve">т. ч. </w:t>
            </w:r>
            <w:r w:rsidRPr="00CD6F9A">
              <w:rPr>
                <w:lang w:val="uk-UA"/>
              </w:rPr>
              <w:t>для здоров'я населення» має відповідати вимогам пункту 5 Порядку здійснення моніторингу наслідків виконання документа державного планування для довкілля, у т</w:t>
            </w:r>
            <w:r>
              <w:rPr>
                <w:lang w:val="uk-UA"/>
              </w:rPr>
              <w:t>.</w:t>
            </w:r>
            <w:r w:rsidR="00801B34">
              <w:rPr>
                <w:lang w:val="uk-UA"/>
              </w:rPr>
              <w:t xml:space="preserve"> </w:t>
            </w:r>
            <w:r w:rsidRPr="00CD6F9A">
              <w:rPr>
                <w:lang w:val="uk-UA"/>
              </w:rPr>
              <w:t>ч</w:t>
            </w:r>
            <w:r>
              <w:rPr>
                <w:lang w:val="uk-UA"/>
              </w:rPr>
              <w:t xml:space="preserve">. </w:t>
            </w:r>
            <w:r w:rsidRPr="00CD6F9A">
              <w:rPr>
                <w:lang w:val="uk-UA"/>
              </w:rPr>
              <w:t xml:space="preserve">для здоров’я населення, затвердженого постановою Кабінету Міністрів України від 16.12.2020 </w:t>
            </w:r>
            <w:r w:rsidR="009666DA">
              <w:rPr>
                <w:lang w:val="uk-UA"/>
              </w:rPr>
              <w:t xml:space="preserve">року </w:t>
            </w:r>
            <w:r w:rsidRPr="00CD6F9A">
              <w:rPr>
                <w:lang w:val="uk-UA"/>
              </w:rPr>
              <w:t xml:space="preserve">№ 1272, у розділі мають бути наведені: зміст заходів, </w:t>
            </w:r>
            <w:r w:rsidRPr="00CD6F9A">
              <w:rPr>
                <w:lang w:val="uk-UA"/>
              </w:rPr>
              <w:lastRenderedPageBreak/>
              <w:t>передбачених для здійснення моніторингу, та строки їх виконання; кількісні та якісні показники, одиниці їх вимірювання та цільові значення таких показників відповідно до кожного з визначених у звіті про стратегічну екологічну оцінку наслідків виконання документа державного планування для довкілля, у тому числі для здоров’я населення; кількісні та якісні показники, одиниці їх вимірювання та цільові значення таких показників для запобігання, зменшення та пом’якшення негативних наслідків виконання документа державного планування для довкілля, у т</w:t>
            </w:r>
            <w:r>
              <w:rPr>
                <w:lang w:val="uk-UA"/>
              </w:rPr>
              <w:t>.</w:t>
            </w:r>
            <w:r w:rsidRPr="00CD6F9A">
              <w:rPr>
                <w:lang w:val="uk-UA"/>
              </w:rPr>
              <w:t xml:space="preserve"> ч</w:t>
            </w:r>
            <w:r>
              <w:rPr>
                <w:lang w:val="uk-UA"/>
              </w:rPr>
              <w:t>.</w:t>
            </w:r>
            <w:r w:rsidRPr="00CD6F9A">
              <w:rPr>
                <w:lang w:val="uk-UA"/>
              </w:rPr>
              <w:t xml:space="preserve"> для здоров’я населення; 3 методи визначення кожного із показників, які дають змогу швидко та без надлишкових витрат їх вимірювати; періодичність вимірювання показників, проведення їх аналізу та співставлення із цільовими значеннями; засоби і способи виявлення наявності або відсутності наслідків для довкілля, у тому числі для здоров’я населення, з урахуванням можливості виявлення негативних наслідків виконання документа державного планування, не передбачених звітом про стратегічну екологічну оцінку.</w:t>
            </w:r>
          </w:p>
        </w:tc>
        <w:tc>
          <w:tcPr>
            <w:tcW w:w="1843" w:type="dxa"/>
          </w:tcPr>
          <w:p w:rsidR="00CD6F9A" w:rsidRPr="00CD6F9A" w:rsidRDefault="00CD6F9A" w:rsidP="00CD6F9A">
            <w:pPr>
              <w:jc w:val="center"/>
              <w:rPr>
                <w:color w:val="FF0000"/>
                <w:highlight w:val="yellow"/>
                <w:lang w:val="uk-UA"/>
              </w:rPr>
            </w:pPr>
            <w:r w:rsidRPr="00CD6F9A">
              <w:rPr>
                <w:lang w:val="uk-UA"/>
              </w:rPr>
              <w:lastRenderedPageBreak/>
              <w:t>Враховано</w:t>
            </w:r>
          </w:p>
        </w:tc>
        <w:tc>
          <w:tcPr>
            <w:tcW w:w="7371" w:type="dxa"/>
          </w:tcPr>
          <w:p w:rsidR="00CD6F9A" w:rsidRPr="00ED36FC" w:rsidRDefault="00CD6F9A" w:rsidP="00CD6F9A">
            <w:pPr>
              <w:jc w:val="both"/>
              <w:rPr>
                <w:highlight w:val="yellow"/>
                <w:lang w:val="uk-UA"/>
              </w:rPr>
            </w:pPr>
            <w:r w:rsidRPr="00801B34">
              <w:rPr>
                <w:lang w:val="uk-UA"/>
              </w:rPr>
              <w:t>Звіт доповнено.</w:t>
            </w:r>
          </w:p>
        </w:tc>
      </w:tr>
    </w:tbl>
    <w:p w:rsidR="00826E09" w:rsidRPr="00CD6F9A" w:rsidRDefault="00826E09" w:rsidP="00F1362D">
      <w:pPr>
        <w:tabs>
          <w:tab w:val="left" w:pos="8787"/>
        </w:tabs>
        <w:ind w:firstLine="567"/>
        <w:jc w:val="both"/>
        <w:rPr>
          <w:highlight w:val="yellow"/>
          <w:lang w:val="uk-UA"/>
        </w:rPr>
      </w:pPr>
    </w:p>
    <w:p w:rsidR="005E2333" w:rsidRDefault="008A08E5" w:rsidP="00014F4E">
      <w:pPr>
        <w:tabs>
          <w:tab w:val="left" w:pos="8787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</w:p>
    <w:sectPr w:rsidR="005E2333" w:rsidSect="007938AA">
      <w:pgSz w:w="16838" w:h="11906" w:orient="landscape"/>
      <w:pgMar w:top="993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4E8"/>
    <w:multiLevelType w:val="hybridMultilevel"/>
    <w:tmpl w:val="89E45A16"/>
    <w:lvl w:ilvl="0" w:tplc="8578D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BDE"/>
    <w:multiLevelType w:val="hybridMultilevel"/>
    <w:tmpl w:val="F8D24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5024"/>
    <w:multiLevelType w:val="hybridMultilevel"/>
    <w:tmpl w:val="08D65232"/>
    <w:lvl w:ilvl="0" w:tplc="70C231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4D29D6"/>
    <w:multiLevelType w:val="hybridMultilevel"/>
    <w:tmpl w:val="EE3AE98A"/>
    <w:lvl w:ilvl="0" w:tplc="57B89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01F11"/>
    <w:multiLevelType w:val="hybridMultilevel"/>
    <w:tmpl w:val="D9B21F20"/>
    <w:lvl w:ilvl="0" w:tplc="7DCA38E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F60507"/>
    <w:multiLevelType w:val="hybridMultilevel"/>
    <w:tmpl w:val="AD6EEF4C"/>
    <w:lvl w:ilvl="0" w:tplc="ABBA7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92051A"/>
    <w:multiLevelType w:val="hybridMultilevel"/>
    <w:tmpl w:val="3D541E98"/>
    <w:lvl w:ilvl="0" w:tplc="CE6C92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A71660"/>
    <w:multiLevelType w:val="hybridMultilevel"/>
    <w:tmpl w:val="023E6BE0"/>
    <w:lvl w:ilvl="0" w:tplc="B6E620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5CBA"/>
    <w:multiLevelType w:val="hybridMultilevel"/>
    <w:tmpl w:val="13447BBE"/>
    <w:lvl w:ilvl="0" w:tplc="DDB2B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E75C03"/>
    <w:multiLevelType w:val="hybridMultilevel"/>
    <w:tmpl w:val="32B24D38"/>
    <w:lvl w:ilvl="0" w:tplc="5AA03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4F7840"/>
    <w:multiLevelType w:val="hybridMultilevel"/>
    <w:tmpl w:val="44967974"/>
    <w:lvl w:ilvl="0" w:tplc="B26C5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67BD8"/>
    <w:multiLevelType w:val="hybridMultilevel"/>
    <w:tmpl w:val="F8D24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D29D5"/>
    <w:multiLevelType w:val="hybridMultilevel"/>
    <w:tmpl w:val="8B5E219A"/>
    <w:lvl w:ilvl="0" w:tplc="BA1EA8D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26620E"/>
    <w:multiLevelType w:val="hybridMultilevel"/>
    <w:tmpl w:val="054EDA94"/>
    <w:lvl w:ilvl="0" w:tplc="3D44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E1511"/>
    <w:multiLevelType w:val="hybridMultilevel"/>
    <w:tmpl w:val="82C07D0C"/>
    <w:lvl w:ilvl="0" w:tplc="0422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147DD"/>
    <w:multiLevelType w:val="hybridMultilevel"/>
    <w:tmpl w:val="F4B43C12"/>
    <w:lvl w:ilvl="0" w:tplc="184C80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14"/>
  </w:num>
  <w:num w:numId="13">
    <w:abstractNumId w:val="5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F7"/>
    <w:rsid w:val="000000DF"/>
    <w:rsid w:val="000131E1"/>
    <w:rsid w:val="00014F4E"/>
    <w:rsid w:val="00023529"/>
    <w:rsid w:val="00023EA4"/>
    <w:rsid w:val="00025904"/>
    <w:rsid w:val="00035486"/>
    <w:rsid w:val="0003774D"/>
    <w:rsid w:val="00037C8D"/>
    <w:rsid w:val="00060964"/>
    <w:rsid w:val="00081911"/>
    <w:rsid w:val="00086EB5"/>
    <w:rsid w:val="00091653"/>
    <w:rsid w:val="000963BC"/>
    <w:rsid w:val="00097AF5"/>
    <w:rsid w:val="000A1126"/>
    <w:rsid w:val="000A2EE5"/>
    <w:rsid w:val="000A445C"/>
    <w:rsid w:val="000B5D1D"/>
    <w:rsid w:val="000C77DF"/>
    <w:rsid w:val="000D3476"/>
    <w:rsid w:val="000E2E2E"/>
    <w:rsid w:val="000E5B9C"/>
    <w:rsid w:val="000E640E"/>
    <w:rsid w:val="000E699F"/>
    <w:rsid w:val="000F064F"/>
    <w:rsid w:val="000F2B9A"/>
    <w:rsid w:val="000F37B8"/>
    <w:rsid w:val="000F5DD8"/>
    <w:rsid w:val="00101A03"/>
    <w:rsid w:val="00105F6A"/>
    <w:rsid w:val="00105FA3"/>
    <w:rsid w:val="001174C8"/>
    <w:rsid w:val="00127041"/>
    <w:rsid w:val="00136B2C"/>
    <w:rsid w:val="00140F77"/>
    <w:rsid w:val="00145C43"/>
    <w:rsid w:val="001556B1"/>
    <w:rsid w:val="0017131E"/>
    <w:rsid w:val="001841B8"/>
    <w:rsid w:val="001932A9"/>
    <w:rsid w:val="001B2601"/>
    <w:rsid w:val="001B4837"/>
    <w:rsid w:val="001C7963"/>
    <w:rsid w:val="001E0132"/>
    <w:rsid w:val="001E069B"/>
    <w:rsid w:val="001E0C0A"/>
    <w:rsid w:val="001E3052"/>
    <w:rsid w:val="001E55C0"/>
    <w:rsid w:val="001E7F22"/>
    <w:rsid w:val="001F1717"/>
    <w:rsid w:val="001F6A24"/>
    <w:rsid w:val="001F73A3"/>
    <w:rsid w:val="001F7566"/>
    <w:rsid w:val="00207924"/>
    <w:rsid w:val="002433D0"/>
    <w:rsid w:val="002623B9"/>
    <w:rsid w:val="0026252B"/>
    <w:rsid w:val="00265999"/>
    <w:rsid w:val="002723CB"/>
    <w:rsid w:val="002805F6"/>
    <w:rsid w:val="00282817"/>
    <w:rsid w:val="00285B47"/>
    <w:rsid w:val="002905E5"/>
    <w:rsid w:val="002A0BBD"/>
    <w:rsid w:val="002B365F"/>
    <w:rsid w:val="002B6527"/>
    <w:rsid w:val="002C522E"/>
    <w:rsid w:val="002D40E4"/>
    <w:rsid w:val="002F02EA"/>
    <w:rsid w:val="0030442F"/>
    <w:rsid w:val="00305D6F"/>
    <w:rsid w:val="00310E31"/>
    <w:rsid w:val="00320F84"/>
    <w:rsid w:val="00330DB0"/>
    <w:rsid w:val="00345542"/>
    <w:rsid w:val="00357E16"/>
    <w:rsid w:val="00364DA0"/>
    <w:rsid w:val="00376C36"/>
    <w:rsid w:val="00380EBF"/>
    <w:rsid w:val="00382591"/>
    <w:rsid w:val="00386645"/>
    <w:rsid w:val="00386AED"/>
    <w:rsid w:val="00392C99"/>
    <w:rsid w:val="003968D2"/>
    <w:rsid w:val="003A18D5"/>
    <w:rsid w:val="003A4EE9"/>
    <w:rsid w:val="003B0B6E"/>
    <w:rsid w:val="003B630E"/>
    <w:rsid w:val="003B6F8F"/>
    <w:rsid w:val="003B7F3C"/>
    <w:rsid w:val="003C6061"/>
    <w:rsid w:val="003D4A5D"/>
    <w:rsid w:val="003E14E2"/>
    <w:rsid w:val="003E7042"/>
    <w:rsid w:val="00400491"/>
    <w:rsid w:val="0040086A"/>
    <w:rsid w:val="004048DC"/>
    <w:rsid w:val="00406F99"/>
    <w:rsid w:val="004148C8"/>
    <w:rsid w:val="0041604C"/>
    <w:rsid w:val="0042416E"/>
    <w:rsid w:val="00436891"/>
    <w:rsid w:val="00445E30"/>
    <w:rsid w:val="00445F25"/>
    <w:rsid w:val="00451E13"/>
    <w:rsid w:val="004605D2"/>
    <w:rsid w:val="004731F7"/>
    <w:rsid w:val="004941E0"/>
    <w:rsid w:val="004A40E7"/>
    <w:rsid w:val="004C0883"/>
    <w:rsid w:val="004C680C"/>
    <w:rsid w:val="004D2C1F"/>
    <w:rsid w:val="004D37BB"/>
    <w:rsid w:val="004E7AE9"/>
    <w:rsid w:val="004F268A"/>
    <w:rsid w:val="004F6BCF"/>
    <w:rsid w:val="004F7C45"/>
    <w:rsid w:val="0050760D"/>
    <w:rsid w:val="00507E0A"/>
    <w:rsid w:val="00537F32"/>
    <w:rsid w:val="00543523"/>
    <w:rsid w:val="005721A3"/>
    <w:rsid w:val="00581FCE"/>
    <w:rsid w:val="005875FE"/>
    <w:rsid w:val="005A7EF8"/>
    <w:rsid w:val="005B2D06"/>
    <w:rsid w:val="005C40DC"/>
    <w:rsid w:val="005D210E"/>
    <w:rsid w:val="005D2F5D"/>
    <w:rsid w:val="005D7F45"/>
    <w:rsid w:val="005E2333"/>
    <w:rsid w:val="005E565C"/>
    <w:rsid w:val="005E6323"/>
    <w:rsid w:val="005F42BA"/>
    <w:rsid w:val="0060695B"/>
    <w:rsid w:val="00623469"/>
    <w:rsid w:val="006416AD"/>
    <w:rsid w:val="0064344D"/>
    <w:rsid w:val="00645BAE"/>
    <w:rsid w:val="00650B8E"/>
    <w:rsid w:val="0065648F"/>
    <w:rsid w:val="0066702A"/>
    <w:rsid w:val="00675C66"/>
    <w:rsid w:val="00690E13"/>
    <w:rsid w:val="006970FC"/>
    <w:rsid w:val="006B5120"/>
    <w:rsid w:val="006C74FB"/>
    <w:rsid w:val="006D45B8"/>
    <w:rsid w:val="006E2023"/>
    <w:rsid w:val="006E5BFE"/>
    <w:rsid w:val="00702305"/>
    <w:rsid w:val="007102E6"/>
    <w:rsid w:val="00711FA3"/>
    <w:rsid w:val="00713EDF"/>
    <w:rsid w:val="00715731"/>
    <w:rsid w:val="007169A5"/>
    <w:rsid w:val="00731F18"/>
    <w:rsid w:val="00744955"/>
    <w:rsid w:val="00760EA2"/>
    <w:rsid w:val="007845A0"/>
    <w:rsid w:val="007938AA"/>
    <w:rsid w:val="007A3077"/>
    <w:rsid w:val="007A4691"/>
    <w:rsid w:val="007A7536"/>
    <w:rsid w:val="007C0727"/>
    <w:rsid w:val="007C2241"/>
    <w:rsid w:val="007D4799"/>
    <w:rsid w:val="007F2FF7"/>
    <w:rsid w:val="00801B34"/>
    <w:rsid w:val="00813361"/>
    <w:rsid w:val="00826E09"/>
    <w:rsid w:val="0082713C"/>
    <w:rsid w:val="00833FC0"/>
    <w:rsid w:val="008462E2"/>
    <w:rsid w:val="0086046D"/>
    <w:rsid w:val="008874F0"/>
    <w:rsid w:val="008A08E5"/>
    <w:rsid w:val="008B2380"/>
    <w:rsid w:val="008B67CC"/>
    <w:rsid w:val="008B7E2E"/>
    <w:rsid w:val="008C7E4D"/>
    <w:rsid w:val="008E5E5D"/>
    <w:rsid w:val="008E7AD9"/>
    <w:rsid w:val="009220AE"/>
    <w:rsid w:val="0092661A"/>
    <w:rsid w:val="00937850"/>
    <w:rsid w:val="0095293D"/>
    <w:rsid w:val="009666DA"/>
    <w:rsid w:val="0097788F"/>
    <w:rsid w:val="00995022"/>
    <w:rsid w:val="009A6CB8"/>
    <w:rsid w:val="009A78B4"/>
    <w:rsid w:val="009C0321"/>
    <w:rsid w:val="009E5417"/>
    <w:rsid w:val="009E580E"/>
    <w:rsid w:val="009F1743"/>
    <w:rsid w:val="009F1FCA"/>
    <w:rsid w:val="00A0239C"/>
    <w:rsid w:val="00A0288F"/>
    <w:rsid w:val="00A0333B"/>
    <w:rsid w:val="00A04384"/>
    <w:rsid w:val="00A16023"/>
    <w:rsid w:val="00A217EB"/>
    <w:rsid w:val="00A2459E"/>
    <w:rsid w:val="00A40A49"/>
    <w:rsid w:val="00A439A1"/>
    <w:rsid w:val="00A541AF"/>
    <w:rsid w:val="00A57E17"/>
    <w:rsid w:val="00A77E7D"/>
    <w:rsid w:val="00A84331"/>
    <w:rsid w:val="00A9452C"/>
    <w:rsid w:val="00AA051E"/>
    <w:rsid w:val="00AA10BB"/>
    <w:rsid w:val="00AB1BF9"/>
    <w:rsid w:val="00AB6559"/>
    <w:rsid w:val="00AC2656"/>
    <w:rsid w:val="00AC5563"/>
    <w:rsid w:val="00AE04A3"/>
    <w:rsid w:val="00AE6024"/>
    <w:rsid w:val="00AF3567"/>
    <w:rsid w:val="00B04600"/>
    <w:rsid w:val="00B116F2"/>
    <w:rsid w:val="00B1691B"/>
    <w:rsid w:val="00B21482"/>
    <w:rsid w:val="00B44B50"/>
    <w:rsid w:val="00B50C98"/>
    <w:rsid w:val="00B6100E"/>
    <w:rsid w:val="00B611FB"/>
    <w:rsid w:val="00B62733"/>
    <w:rsid w:val="00B656ED"/>
    <w:rsid w:val="00B72B47"/>
    <w:rsid w:val="00B757BB"/>
    <w:rsid w:val="00B85F9A"/>
    <w:rsid w:val="00B90555"/>
    <w:rsid w:val="00B9309D"/>
    <w:rsid w:val="00B96BFC"/>
    <w:rsid w:val="00BA2AB5"/>
    <w:rsid w:val="00BA6190"/>
    <w:rsid w:val="00BB2E7E"/>
    <w:rsid w:val="00BB489F"/>
    <w:rsid w:val="00BC3F2C"/>
    <w:rsid w:val="00BE2323"/>
    <w:rsid w:val="00BF14A8"/>
    <w:rsid w:val="00BF1B72"/>
    <w:rsid w:val="00C0575D"/>
    <w:rsid w:val="00C06AF0"/>
    <w:rsid w:val="00C25911"/>
    <w:rsid w:val="00C32736"/>
    <w:rsid w:val="00C33E3D"/>
    <w:rsid w:val="00C61CB7"/>
    <w:rsid w:val="00C66738"/>
    <w:rsid w:val="00C779DE"/>
    <w:rsid w:val="00C804DB"/>
    <w:rsid w:val="00C93840"/>
    <w:rsid w:val="00CB7BA1"/>
    <w:rsid w:val="00CC5755"/>
    <w:rsid w:val="00CD02C7"/>
    <w:rsid w:val="00CD0DA6"/>
    <w:rsid w:val="00CD6F9A"/>
    <w:rsid w:val="00CE1210"/>
    <w:rsid w:val="00CE5B06"/>
    <w:rsid w:val="00D21A61"/>
    <w:rsid w:val="00D311AC"/>
    <w:rsid w:val="00D33248"/>
    <w:rsid w:val="00D4286B"/>
    <w:rsid w:val="00D463E8"/>
    <w:rsid w:val="00D55175"/>
    <w:rsid w:val="00D636AF"/>
    <w:rsid w:val="00D66A10"/>
    <w:rsid w:val="00D81EC6"/>
    <w:rsid w:val="00D913C8"/>
    <w:rsid w:val="00D94544"/>
    <w:rsid w:val="00DB0EB8"/>
    <w:rsid w:val="00DB3218"/>
    <w:rsid w:val="00DD4269"/>
    <w:rsid w:val="00DD7516"/>
    <w:rsid w:val="00E01A4D"/>
    <w:rsid w:val="00E03C80"/>
    <w:rsid w:val="00E05B77"/>
    <w:rsid w:val="00E107E0"/>
    <w:rsid w:val="00E1161A"/>
    <w:rsid w:val="00E21AD0"/>
    <w:rsid w:val="00E26C15"/>
    <w:rsid w:val="00E333FD"/>
    <w:rsid w:val="00E342D9"/>
    <w:rsid w:val="00E41833"/>
    <w:rsid w:val="00E51F0F"/>
    <w:rsid w:val="00E5795D"/>
    <w:rsid w:val="00E6016C"/>
    <w:rsid w:val="00E60F39"/>
    <w:rsid w:val="00E650ED"/>
    <w:rsid w:val="00E70B40"/>
    <w:rsid w:val="00E8353B"/>
    <w:rsid w:val="00E87D47"/>
    <w:rsid w:val="00E970E7"/>
    <w:rsid w:val="00EA259C"/>
    <w:rsid w:val="00EA66FA"/>
    <w:rsid w:val="00EC12AF"/>
    <w:rsid w:val="00ED36FC"/>
    <w:rsid w:val="00EF4B8B"/>
    <w:rsid w:val="00F0055E"/>
    <w:rsid w:val="00F01816"/>
    <w:rsid w:val="00F07777"/>
    <w:rsid w:val="00F1362D"/>
    <w:rsid w:val="00F14E9E"/>
    <w:rsid w:val="00F17B97"/>
    <w:rsid w:val="00F20FBF"/>
    <w:rsid w:val="00F4112E"/>
    <w:rsid w:val="00F4372F"/>
    <w:rsid w:val="00F44AAE"/>
    <w:rsid w:val="00F4561C"/>
    <w:rsid w:val="00F50675"/>
    <w:rsid w:val="00F51FA7"/>
    <w:rsid w:val="00F6285A"/>
    <w:rsid w:val="00F75E08"/>
    <w:rsid w:val="00F90FAA"/>
    <w:rsid w:val="00F95A2E"/>
    <w:rsid w:val="00FA33BA"/>
    <w:rsid w:val="00FA37DE"/>
    <w:rsid w:val="00FA4564"/>
    <w:rsid w:val="00FB4FED"/>
    <w:rsid w:val="00FC15CD"/>
    <w:rsid w:val="00FE0071"/>
    <w:rsid w:val="00FE4A88"/>
    <w:rsid w:val="00FF6075"/>
    <w:rsid w:val="00FF6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99A99-BE3A-43FD-9064-725C104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C3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E7AE9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7F2FF7"/>
    <w:pPr>
      <w:jc w:val="center"/>
    </w:pPr>
    <w:rPr>
      <w:b/>
      <w:sz w:val="32"/>
      <w:szCs w:val="20"/>
      <w:lang w:val="uk-UA"/>
    </w:rPr>
  </w:style>
  <w:style w:type="character" w:customStyle="1" w:styleId="22">
    <w:name w:val="Основний текст 2 Знак"/>
    <w:basedOn w:val="a0"/>
    <w:link w:val="21"/>
    <w:semiHidden/>
    <w:rsid w:val="007F2F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rsid w:val="007F2FF7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D311A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rsid w:val="00D311A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DD751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B630E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2A0BBD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customStyle="1" w:styleId="Default">
    <w:name w:val="Default"/>
    <w:rsid w:val="00330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9">
    <w:name w:val="Table Grid"/>
    <w:basedOn w:val="a1"/>
    <w:uiPriority w:val="39"/>
    <w:rsid w:val="00FE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AE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WW8Num1z0">
    <w:name w:val="WW8Num1z0"/>
    <w:uiPriority w:val="99"/>
    <w:rsid w:val="00BC3F2C"/>
  </w:style>
  <w:style w:type="character" w:customStyle="1" w:styleId="10">
    <w:name w:val="Заголовок 1 Знак"/>
    <w:basedOn w:val="a0"/>
    <w:link w:val="1"/>
    <w:uiPriority w:val="9"/>
    <w:rsid w:val="00BC3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customStyle="1" w:styleId="xfmc1">
    <w:name w:val="xfmc1"/>
    <w:basedOn w:val="a"/>
    <w:rsid w:val="006D45B8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CD6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02D0-B4F6-43B0-903B-49C57503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6</Pages>
  <Words>7708</Words>
  <Characters>4395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Єрмакова Тетяна Володимирівна</dc:creator>
  <cp:lastModifiedBy>Казмірчук Оксана Вікторівна</cp:lastModifiedBy>
  <cp:revision>54</cp:revision>
  <cp:lastPrinted>2022-12-07T10:45:00Z</cp:lastPrinted>
  <dcterms:created xsi:type="dcterms:W3CDTF">2022-11-16T07:49:00Z</dcterms:created>
  <dcterms:modified xsi:type="dcterms:W3CDTF">2022-12-07T10:45:00Z</dcterms:modified>
</cp:coreProperties>
</file>